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4A0" w:firstRow="1" w:lastRow="0" w:firstColumn="1" w:lastColumn="0" w:noHBand="0" w:noVBand="1"/>
      </w:tblPr>
      <w:tblGrid>
        <w:gridCol w:w="2254"/>
        <w:gridCol w:w="6746"/>
      </w:tblGrid>
      <w:tr w:rsidR="000149DF" w14:paraId="50F486ED" w14:textId="77777777">
        <w:tblPrEx>
          <w:tblCellMar>
            <w:top w:w="0" w:type="dxa"/>
            <w:bottom w:w="0" w:type="dxa"/>
          </w:tblCellMar>
        </w:tblPrEx>
        <w:trPr>
          <w:tblCellSpacing w:w="60" w:type="dxa"/>
        </w:trPr>
        <w:tc>
          <w:tcPr>
            <w:tcW w:w="1200" w:type="pct"/>
            <w:shd w:val="clear" w:color="auto" w:fill="E7F0F9"/>
          </w:tcPr>
          <w:p w14:paraId="0BC73B49" w14:textId="77777777" w:rsidR="000149DF" w:rsidRDefault="00000000">
            <w:pPr>
              <w:spacing w:after="0" w:line="240" w:lineRule="auto"/>
            </w:pPr>
            <w:r>
              <w:rPr>
                <w:b/>
              </w:rPr>
              <w:t>RKP broj</w:t>
            </w:r>
          </w:p>
        </w:tc>
        <w:tc>
          <w:tcPr>
            <w:tcW w:w="0" w:type="auto"/>
            <w:shd w:val="clear" w:color="auto" w:fill="E7F0F9"/>
          </w:tcPr>
          <w:p w14:paraId="753A1996" w14:textId="77777777" w:rsidR="000149DF" w:rsidRDefault="00000000">
            <w:pPr>
              <w:spacing w:after="0" w:line="240" w:lineRule="auto"/>
            </w:pPr>
            <w:r>
              <w:t>31227</w:t>
            </w:r>
          </w:p>
        </w:tc>
      </w:tr>
      <w:tr w:rsidR="000149DF" w14:paraId="1D994623" w14:textId="77777777">
        <w:tblPrEx>
          <w:tblCellMar>
            <w:top w:w="0" w:type="dxa"/>
            <w:bottom w:w="0" w:type="dxa"/>
          </w:tblCellMar>
        </w:tblPrEx>
        <w:trPr>
          <w:tblCellSpacing w:w="60" w:type="dxa"/>
        </w:trPr>
        <w:tc>
          <w:tcPr>
            <w:tcW w:w="1200" w:type="pct"/>
            <w:shd w:val="clear" w:color="auto" w:fill="E7F0F9"/>
          </w:tcPr>
          <w:p w14:paraId="4FE9209E" w14:textId="77777777" w:rsidR="000149DF" w:rsidRDefault="00000000">
            <w:pPr>
              <w:spacing w:after="0" w:line="240" w:lineRule="auto"/>
            </w:pPr>
            <w:r>
              <w:rPr>
                <w:b/>
              </w:rPr>
              <w:t>Naziv obveznika</w:t>
            </w:r>
          </w:p>
        </w:tc>
        <w:tc>
          <w:tcPr>
            <w:tcW w:w="0" w:type="auto"/>
            <w:shd w:val="clear" w:color="auto" w:fill="E7F0F9"/>
          </w:tcPr>
          <w:p w14:paraId="3D95242A" w14:textId="77777777" w:rsidR="000149DF" w:rsidRDefault="00000000">
            <w:pPr>
              <w:spacing w:after="0" w:line="240" w:lineRule="auto"/>
            </w:pPr>
            <w:r>
              <w:t>DUBROVAČKO-NERETVANSKA ŽUPANIJA</w:t>
            </w:r>
          </w:p>
        </w:tc>
      </w:tr>
      <w:tr w:rsidR="000149DF" w14:paraId="1840645F" w14:textId="77777777">
        <w:tblPrEx>
          <w:tblCellMar>
            <w:top w:w="0" w:type="dxa"/>
            <w:bottom w:w="0" w:type="dxa"/>
          </w:tblCellMar>
        </w:tblPrEx>
        <w:trPr>
          <w:tblCellSpacing w:w="60" w:type="dxa"/>
        </w:trPr>
        <w:tc>
          <w:tcPr>
            <w:tcW w:w="1200" w:type="pct"/>
            <w:shd w:val="clear" w:color="auto" w:fill="E7F0F9"/>
          </w:tcPr>
          <w:p w14:paraId="1C246F41" w14:textId="77777777" w:rsidR="000149DF" w:rsidRDefault="00000000">
            <w:pPr>
              <w:spacing w:after="0" w:line="240" w:lineRule="auto"/>
            </w:pPr>
            <w:r>
              <w:rPr>
                <w:b/>
              </w:rPr>
              <w:t>Razina</w:t>
            </w:r>
          </w:p>
        </w:tc>
        <w:tc>
          <w:tcPr>
            <w:tcW w:w="0" w:type="auto"/>
            <w:shd w:val="clear" w:color="auto" w:fill="E7F0F9"/>
          </w:tcPr>
          <w:p w14:paraId="3CCCCF7B" w14:textId="77777777" w:rsidR="000149DF" w:rsidRDefault="00000000">
            <w:pPr>
              <w:spacing w:after="0" w:line="240" w:lineRule="auto"/>
            </w:pPr>
            <w:r>
              <w:t>22</w:t>
            </w:r>
          </w:p>
        </w:tc>
      </w:tr>
    </w:tbl>
    <w:p w14:paraId="79575D4F" w14:textId="77777777" w:rsidR="000149DF" w:rsidRDefault="00000000">
      <w:r>
        <w:br/>
      </w:r>
    </w:p>
    <w:p w14:paraId="27A3A6DF" w14:textId="77777777" w:rsidR="000149DF" w:rsidRDefault="00000000">
      <w:pPr>
        <w:spacing w:line="240" w:lineRule="auto"/>
        <w:jc w:val="center"/>
      </w:pPr>
      <w:r>
        <w:rPr>
          <w:b/>
          <w:sz w:val="28"/>
        </w:rPr>
        <w:t>BILJEŠKE UZ FINANCIJSKE IZVJEŠTAJE</w:t>
      </w:r>
    </w:p>
    <w:p w14:paraId="4C458690" w14:textId="77777777" w:rsidR="000149DF" w:rsidRDefault="00000000">
      <w:pPr>
        <w:spacing w:line="240" w:lineRule="auto"/>
        <w:jc w:val="center"/>
      </w:pPr>
      <w:r>
        <w:rPr>
          <w:b/>
          <w:sz w:val="28"/>
        </w:rPr>
        <w:t>ZA RAZDOBLJE</w:t>
      </w:r>
    </w:p>
    <w:p w14:paraId="22481C14" w14:textId="77777777" w:rsidR="000149DF" w:rsidRDefault="00000000">
      <w:pPr>
        <w:spacing w:line="240" w:lineRule="auto"/>
        <w:jc w:val="center"/>
      </w:pPr>
      <w:r>
        <w:rPr>
          <w:b/>
          <w:sz w:val="28"/>
        </w:rPr>
        <w:t>I - XII 2025.</w:t>
      </w:r>
    </w:p>
    <w:p w14:paraId="4369F5F8" w14:textId="77777777" w:rsidR="000149DF" w:rsidRDefault="000149DF"/>
    <w:p w14:paraId="530E089A" w14:textId="77777777" w:rsidR="000149DF" w:rsidRDefault="00000000">
      <w:pPr>
        <w:keepNext/>
        <w:spacing w:line="240" w:lineRule="auto"/>
        <w:jc w:val="center"/>
      </w:pPr>
      <w:r>
        <w:rPr>
          <w:b/>
          <w:sz w:val="28"/>
        </w:rPr>
        <w:t>Izvještaj o prihodima i rashodima, primicima i izdacima</w:t>
      </w:r>
    </w:p>
    <w:p w14:paraId="5C6CF028" w14:textId="77777777" w:rsidR="000149DF" w:rsidRDefault="00000000">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FEA429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A46242B"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FE66634"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4EBB7E6"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1FAD8AE"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F577B27"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A1C6F65" w14:textId="77777777" w:rsidR="000149DF" w:rsidRDefault="00000000">
            <w:pPr>
              <w:keepNext/>
              <w:keepLines/>
              <w:spacing w:after="0" w:line="240" w:lineRule="auto"/>
              <w:jc w:val="center"/>
            </w:pPr>
            <w:r>
              <w:rPr>
                <w:b/>
                <w:sz w:val="18"/>
              </w:rPr>
              <w:t>Indeks (%)</w:t>
            </w:r>
          </w:p>
        </w:tc>
      </w:tr>
      <w:tr w:rsidR="000149DF" w14:paraId="091BCFDE" w14:textId="77777777">
        <w:tblPrEx>
          <w:tblCellMar>
            <w:top w:w="0" w:type="dxa"/>
            <w:bottom w:w="0" w:type="dxa"/>
          </w:tblCellMar>
        </w:tblPrEx>
        <w:trPr>
          <w:cantSplit/>
          <w:trHeight w:val="560"/>
        </w:trPr>
        <w:tc>
          <w:tcPr>
            <w:tcW w:w="700" w:type="dxa"/>
            <w:tcMar>
              <w:top w:w="0" w:type="dxa"/>
              <w:bottom w:w="0" w:type="dxa"/>
            </w:tcMar>
            <w:vAlign w:val="center"/>
          </w:tcPr>
          <w:p w14:paraId="69089C73" w14:textId="77777777" w:rsidR="000149DF" w:rsidRDefault="00000000">
            <w:pPr>
              <w:keepNext/>
              <w:keepLines/>
              <w:spacing w:after="0" w:line="240" w:lineRule="auto"/>
            </w:pPr>
            <w:r>
              <w:rPr>
                <w:sz w:val="18"/>
              </w:rPr>
              <w:t>6</w:t>
            </w:r>
          </w:p>
        </w:tc>
        <w:tc>
          <w:tcPr>
            <w:tcW w:w="3180" w:type="dxa"/>
            <w:tcMar>
              <w:top w:w="0" w:type="dxa"/>
              <w:bottom w:w="0" w:type="dxa"/>
            </w:tcMar>
            <w:vAlign w:val="center"/>
          </w:tcPr>
          <w:p w14:paraId="0A66D793" w14:textId="77777777" w:rsidR="000149DF" w:rsidRDefault="00000000">
            <w:pPr>
              <w:keepNext/>
              <w:keepLines/>
              <w:spacing w:after="0" w:line="240" w:lineRule="auto"/>
            </w:pPr>
            <w:r>
              <w:rPr>
                <w:sz w:val="18"/>
              </w:rPr>
              <w:t>PRIHODI POSLOVANJA (šifre 61+62+63+64+65+66+67+68)</w:t>
            </w:r>
          </w:p>
        </w:tc>
        <w:tc>
          <w:tcPr>
            <w:tcW w:w="700" w:type="dxa"/>
            <w:tcMar>
              <w:top w:w="0" w:type="dxa"/>
              <w:bottom w:w="0" w:type="dxa"/>
            </w:tcMar>
            <w:vAlign w:val="center"/>
          </w:tcPr>
          <w:p w14:paraId="2668D62E" w14:textId="77777777" w:rsidR="000149DF" w:rsidRDefault="00000000">
            <w:pPr>
              <w:keepNext/>
              <w:keepLines/>
              <w:spacing w:after="0" w:line="240" w:lineRule="auto"/>
            </w:pPr>
            <w:r>
              <w:rPr>
                <w:sz w:val="18"/>
              </w:rPr>
              <w:t>6</w:t>
            </w:r>
          </w:p>
        </w:tc>
        <w:tc>
          <w:tcPr>
            <w:tcW w:w="1860" w:type="dxa"/>
            <w:tcMar>
              <w:top w:w="0" w:type="dxa"/>
              <w:bottom w:w="0" w:type="dxa"/>
            </w:tcMar>
            <w:vAlign w:val="center"/>
          </w:tcPr>
          <w:p w14:paraId="1EED69E5" w14:textId="77777777" w:rsidR="000149DF" w:rsidRDefault="00000000">
            <w:pPr>
              <w:keepNext/>
              <w:keepLines/>
              <w:spacing w:after="0" w:line="240" w:lineRule="auto"/>
              <w:jc w:val="right"/>
            </w:pPr>
            <w:r>
              <w:rPr>
                <w:sz w:val="18"/>
              </w:rPr>
              <w:t>39.534.419,28</w:t>
            </w:r>
          </w:p>
        </w:tc>
        <w:tc>
          <w:tcPr>
            <w:tcW w:w="1860" w:type="dxa"/>
            <w:tcMar>
              <w:top w:w="0" w:type="dxa"/>
              <w:bottom w:w="0" w:type="dxa"/>
            </w:tcMar>
            <w:vAlign w:val="center"/>
          </w:tcPr>
          <w:p w14:paraId="15043F19" w14:textId="77777777" w:rsidR="000149DF" w:rsidRDefault="00000000">
            <w:pPr>
              <w:keepNext/>
              <w:keepLines/>
              <w:spacing w:after="0" w:line="240" w:lineRule="auto"/>
              <w:jc w:val="right"/>
            </w:pPr>
            <w:r>
              <w:rPr>
                <w:sz w:val="18"/>
              </w:rPr>
              <w:t>48.490.406,20</w:t>
            </w:r>
          </w:p>
        </w:tc>
        <w:tc>
          <w:tcPr>
            <w:tcW w:w="700" w:type="dxa"/>
            <w:tcMar>
              <w:top w:w="0" w:type="dxa"/>
              <w:bottom w:w="0" w:type="dxa"/>
            </w:tcMar>
            <w:vAlign w:val="center"/>
          </w:tcPr>
          <w:p w14:paraId="5EF571CE" w14:textId="77777777" w:rsidR="000149DF" w:rsidRDefault="00000000">
            <w:pPr>
              <w:keepNext/>
              <w:keepLines/>
              <w:spacing w:after="0" w:line="240" w:lineRule="auto"/>
              <w:jc w:val="right"/>
            </w:pPr>
            <w:r>
              <w:rPr>
                <w:sz w:val="18"/>
              </w:rPr>
              <w:t>122,7</w:t>
            </w:r>
          </w:p>
        </w:tc>
      </w:tr>
      <w:tr w:rsidR="000149DF" w14:paraId="1933025E" w14:textId="77777777">
        <w:tblPrEx>
          <w:tblCellMar>
            <w:top w:w="0" w:type="dxa"/>
            <w:bottom w:w="0" w:type="dxa"/>
          </w:tblCellMar>
        </w:tblPrEx>
        <w:trPr>
          <w:cantSplit/>
          <w:trHeight w:val="560"/>
        </w:trPr>
        <w:tc>
          <w:tcPr>
            <w:tcW w:w="700" w:type="dxa"/>
            <w:tcMar>
              <w:top w:w="0" w:type="dxa"/>
              <w:bottom w:w="0" w:type="dxa"/>
            </w:tcMar>
            <w:vAlign w:val="center"/>
          </w:tcPr>
          <w:p w14:paraId="0B023DEF" w14:textId="77777777" w:rsidR="000149DF" w:rsidRDefault="00000000">
            <w:pPr>
              <w:keepNext/>
              <w:keepLines/>
              <w:spacing w:after="0" w:line="240" w:lineRule="auto"/>
            </w:pPr>
            <w:r>
              <w:rPr>
                <w:sz w:val="18"/>
              </w:rPr>
              <w:t>3</w:t>
            </w:r>
          </w:p>
        </w:tc>
        <w:tc>
          <w:tcPr>
            <w:tcW w:w="3180" w:type="dxa"/>
            <w:tcMar>
              <w:top w:w="0" w:type="dxa"/>
              <w:bottom w:w="0" w:type="dxa"/>
            </w:tcMar>
            <w:vAlign w:val="center"/>
          </w:tcPr>
          <w:p w14:paraId="700EBBD5" w14:textId="77777777" w:rsidR="000149DF" w:rsidRDefault="00000000">
            <w:pPr>
              <w:keepNext/>
              <w:keepLines/>
              <w:spacing w:after="0" w:line="240" w:lineRule="auto"/>
            </w:pPr>
            <w:r>
              <w:rPr>
                <w:sz w:val="18"/>
              </w:rPr>
              <w:t>RASHODI POSLOVANJA (šifre 31+32+34+35+36+37+38)</w:t>
            </w:r>
          </w:p>
        </w:tc>
        <w:tc>
          <w:tcPr>
            <w:tcW w:w="700" w:type="dxa"/>
            <w:tcMar>
              <w:top w:w="0" w:type="dxa"/>
              <w:bottom w:w="0" w:type="dxa"/>
            </w:tcMar>
            <w:vAlign w:val="center"/>
          </w:tcPr>
          <w:p w14:paraId="0048DB8F" w14:textId="77777777" w:rsidR="000149DF" w:rsidRDefault="00000000">
            <w:pPr>
              <w:keepNext/>
              <w:keepLines/>
              <w:spacing w:after="0" w:line="240" w:lineRule="auto"/>
            </w:pPr>
            <w:r>
              <w:rPr>
                <w:sz w:val="18"/>
              </w:rPr>
              <w:t>3</w:t>
            </w:r>
          </w:p>
        </w:tc>
        <w:tc>
          <w:tcPr>
            <w:tcW w:w="1860" w:type="dxa"/>
            <w:tcMar>
              <w:top w:w="0" w:type="dxa"/>
              <w:bottom w:w="0" w:type="dxa"/>
            </w:tcMar>
            <w:vAlign w:val="center"/>
          </w:tcPr>
          <w:p w14:paraId="061BB620" w14:textId="77777777" w:rsidR="000149DF" w:rsidRDefault="00000000">
            <w:pPr>
              <w:keepNext/>
              <w:keepLines/>
              <w:spacing w:after="0" w:line="240" w:lineRule="auto"/>
              <w:jc w:val="right"/>
            </w:pPr>
            <w:r>
              <w:rPr>
                <w:sz w:val="18"/>
              </w:rPr>
              <w:t>33.381.863,69</w:t>
            </w:r>
          </w:p>
        </w:tc>
        <w:tc>
          <w:tcPr>
            <w:tcW w:w="1860" w:type="dxa"/>
            <w:tcMar>
              <w:top w:w="0" w:type="dxa"/>
              <w:bottom w:w="0" w:type="dxa"/>
            </w:tcMar>
            <w:vAlign w:val="center"/>
          </w:tcPr>
          <w:p w14:paraId="70268D71" w14:textId="77777777" w:rsidR="000149DF" w:rsidRDefault="00000000">
            <w:pPr>
              <w:keepNext/>
              <w:keepLines/>
              <w:spacing w:after="0" w:line="240" w:lineRule="auto"/>
              <w:jc w:val="right"/>
            </w:pPr>
            <w:r>
              <w:rPr>
                <w:sz w:val="18"/>
              </w:rPr>
              <w:t>47.347.012,92</w:t>
            </w:r>
          </w:p>
        </w:tc>
        <w:tc>
          <w:tcPr>
            <w:tcW w:w="700" w:type="dxa"/>
            <w:tcMar>
              <w:top w:w="0" w:type="dxa"/>
              <w:bottom w:w="0" w:type="dxa"/>
            </w:tcMar>
            <w:vAlign w:val="center"/>
          </w:tcPr>
          <w:p w14:paraId="120D0986" w14:textId="77777777" w:rsidR="000149DF" w:rsidRDefault="00000000">
            <w:pPr>
              <w:keepNext/>
              <w:keepLines/>
              <w:spacing w:after="0" w:line="240" w:lineRule="auto"/>
              <w:jc w:val="right"/>
            </w:pPr>
            <w:r>
              <w:rPr>
                <w:sz w:val="18"/>
              </w:rPr>
              <w:t>141,8</w:t>
            </w:r>
          </w:p>
        </w:tc>
      </w:tr>
      <w:tr w:rsidR="000149DF" w14:paraId="6F641480" w14:textId="77777777">
        <w:tblPrEx>
          <w:tblCellMar>
            <w:top w:w="0" w:type="dxa"/>
            <w:bottom w:w="0" w:type="dxa"/>
          </w:tblCellMar>
        </w:tblPrEx>
        <w:trPr>
          <w:cantSplit/>
          <w:trHeight w:val="560"/>
        </w:trPr>
        <w:tc>
          <w:tcPr>
            <w:tcW w:w="700" w:type="dxa"/>
            <w:tcMar>
              <w:top w:w="0" w:type="dxa"/>
              <w:bottom w:w="0" w:type="dxa"/>
            </w:tcMar>
            <w:vAlign w:val="center"/>
          </w:tcPr>
          <w:p w14:paraId="54EE9BD3" w14:textId="77777777" w:rsidR="000149DF" w:rsidRDefault="000149DF">
            <w:pPr>
              <w:keepNext/>
              <w:keepLines/>
              <w:spacing w:after="0" w:line="240" w:lineRule="auto"/>
            </w:pPr>
          </w:p>
        </w:tc>
        <w:tc>
          <w:tcPr>
            <w:tcW w:w="3180" w:type="dxa"/>
            <w:tcMar>
              <w:top w:w="0" w:type="dxa"/>
              <w:bottom w:w="0" w:type="dxa"/>
            </w:tcMar>
            <w:vAlign w:val="center"/>
          </w:tcPr>
          <w:p w14:paraId="60DCD906" w14:textId="77777777" w:rsidR="000149DF" w:rsidRDefault="00000000">
            <w:pPr>
              <w:keepNext/>
              <w:keepLines/>
              <w:spacing w:after="0" w:line="240" w:lineRule="auto"/>
            </w:pPr>
            <w:r>
              <w:rPr>
                <w:b/>
                <w:sz w:val="18"/>
              </w:rPr>
              <w:t>VIŠAK PRIHODA POSLOVANJA (šifre 6-Z005)</w:t>
            </w:r>
          </w:p>
        </w:tc>
        <w:tc>
          <w:tcPr>
            <w:tcW w:w="700" w:type="dxa"/>
            <w:tcMar>
              <w:top w:w="0" w:type="dxa"/>
              <w:bottom w:w="0" w:type="dxa"/>
            </w:tcMar>
            <w:vAlign w:val="center"/>
          </w:tcPr>
          <w:p w14:paraId="137EA030" w14:textId="77777777" w:rsidR="000149DF" w:rsidRDefault="00000000">
            <w:pPr>
              <w:keepNext/>
              <w:keepLines/>
              <w:spacing w:after="0" w:line="240" w:lineRule="auto"/>
            </w:pPr>
            <w:r>
              <w:rPr>
                <w:b/>
                <w:sz w:val="18"/>
              </w:rPr>
              <w:t>X001</w:t>
            </w:r>
          </w:p>
        </w:tc>
        <w:tc>
          <w:tcPr>
            <w:tcW w:w="1860" w:type="dxa"/>
            <w:tcMar>
              <w:top w:w="0" w:type="dxa"/>
              <w:bottom w:w="0" w:type="dxa"/>
            </w:tcMar>
            <w:vAlign w:val="center"/>
          </w:tcPr>
          <w:p w14:paraId="7BD3FF37" w14:textId="77777777" w:rsidR="000149DF" w:rsidRDefault="00000000">
            <w:pPr>
              <w:keepNext/>
              <w:keepLines/>
              <w:spacing w:after="0" w:line="240" w:lineRule="auto"/>
              <w:jc w:val="right"/>
            </w:pPr>
            <w:r>
              <w:rPr>
                <w:b/>
                <w:sz w:val="18"/>
              </w:rPr>
              <w:t>6.152.555,59</w:t>
            </w:r>
          </w:p>
        </w:tc>
        <w:tc>
          <w:tcPr>
            <w:tcW w:w="1860" w:type="dxa"/>
            <w:tcMar>
              <w:top w:w="0" w:type="dxa"/>
              <w:bottom w:w="0" w:type="dxa"/>
            </w:tcMar>
            <w:vAlign w:val="center"/>
          </w:tcPr>
          <w:p w14:paraId="0EF2E083" w14:textId="77777777" w:rsidR="000149DF" w:rsidRDefault="00000000">
            <w:pPr>
              <w:keepNext/>
              <w:keepLines/>
              <w:spacing w:after="0" w:line="240" w:lineRule="auto"/>
              <w:jc w:val="right"/>
            </w:pPr>
            <w:r>
              <w:rPr>
                <w:b/>
                <w:sz w:val="18"/>
              </w:rPr>
              <w:t>1.143.393,28</w:t>
            </w:r>
          </w:p>
        </w:tc>
        <w:tc>
          <w:tcPr>
            <w:tcW w:w="700" w:type="dxa"/>
            <w:tcMar>
              <w:top w:w="0" w:type="dxa"/>
              <w:bottom w:w="0" w:type="dxa"/>
            </w:tcMar>
            <w:vAlign w:val="center"/>
          </w:tcPr>
          <w:p w14:paraId="169BBB10" w14:textId="77777777" w:rsidR="000149DF" w:rsidRDefault="00000000">
            <w:pPr>
              <w:keepNext/>
              <w:keepLines/>
              <w:spacing w:after="0" w:line="240" w:lineRule="auto"/>
              <w:jc w:val="right"/>
            </w:pPr>
            <w:r>
              <w:rPr>
                <w:b/>
                <w:sz w:val="18"/>
              </w:rPr>
              <w:t>18,6</w:t>
            </w:r>
          </w:p>
        </w:tc>
      </w:tr>
      <w:tr w:rsidR="000149DF" w14:paraId="7802366B" w14:textId="77777777">
        <w:tblPrEx>
          <w:tblCellMar>
            <w:top w:w="0" w:type="dxa"/>
            <w:bottom w:w="0" w:type="dxa"/>
          </w:tblCellMar>
        </w:tblPrEx>
        <w:trPr>
          <w:cantSplit/>
          <w:trHeight w:val="560"/>
        </w:trPr>
        <w:tc>
          <w:tcPr>
            <w:tcW w:w="700" w:type="dxa"/>
            <w:tcMar>
              <w:top w:w="0" w:type="dxa"/>
              <w:bottom w:w="0" w:type="dxa"/>
            </w:tcMar>
            <w:vAlign w:val="center"/>
          </w:tcPr>
          <w:p w14:paraId="6D735B79" w14:textId="77777777" w:rsidR="000149DF" w:rsidRDefault="00000000">
            <w:pPr>
              <w:keepNext/>
              <w:keepLines/>
              <w:spacing w:after="0" w:line="240" w:lineRule="auto"/>
            </w:pPr>
            <w:r>
              <w:rPr>
                <w:sz w:val="18"/>
              </w:rPr>
              <w:t>7</w:t>
            </w:r>
          </w:p>
        </w:tc>
        <w:tc>
          <w:tcPr>
            <w:tcW w:w="3180" w:type="dxa"/>
            <w:tcMar>
              <w:top w:w="0" w:type="dxa"/>
              <w:bottom w:w="0" w:type="dxa"/>
            </w:tcMar>
            <w:vAlign w:val="center"/>
          </w:tcPr>
          <w:p w14:paraId="7D891D3A" w14:textId="77777777" w:rsidR="000149DF" w:rsidRDefault="00000000">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1033260C" w14:textId="77777777" w:rsidR="000149DF" w:rsidRDefault="00000000">
            <w:pPr>
              <w:keepNext/>
              <w:keepLines/>
              <w:spacing w:after="0" w:line="240" w:lineRule="auto"/>
            </w:pPr>
            <w:r>
              <w:rPr>
                <w:sz w:val="18"/>
              </w:rPr>
              <w:t>7</w:t>
            </w:r>
          </w:p>
        </w:tc>
        <w:tc>
          <w:tcPr>
            <w:tcW w:w="1860" w:type="dxa"/>
            <w:tcMar>
              <w:top w:w="0" w:type="dxa"/>
              <w:bottom w:w="0" w:type="dxa"/>
            </w:tcMar>
            <w:vAlign w:val="center"/>
          </w:tcPr>
          <w:p w14:paraId="15474419" w14:textId="77777777" w:rsidR="000149DF" w:rsidRDefault="00000000">
            <w:pPr>
              <w:keepNext/>
              <w:keepLines/>
              <w:spacing w:after="0" w:line="240" w:lineRule="auto"/>
              <w:jc w:val="right"/>
            </w:pPr>
            <w:r>
              <w:rPr>
                <w:sz w:val="18"/>
              </w:rPr>
              <w:t>645,65</w:t>
            </w:r>
          </w:p>
        </w:tc>
        <w:tc>
          <w:tcPr>
            <w:tcW w:w="1860" w:type="dxa"/>
            <w:tcMar>
              <w:top w:w="0" w:type="dxa"/>
              <w:bottom w:w="0" w:type="dxa"/>
            </w:tcMar>
            <w:vAlign w:val="center"/>
          </w:tcPr>
          <w:p w14:paraId="6A0C2D39" w14:textId="77777777" w:rsidR="000149DF" w:rsidRDefault="00000000">
            <w:pPr>
              <w:keepNext/>
              <w:keepLines/>
              <w:spacing w:after="0" w:line="240" w:lineRule="auto"/>
              <w:jc w:val="right"/>
            </w:pPr>
            <w:r>
              <w:rPr>
                <w:sz w:val="18"/>
              </w:rPr>
              <w:t>54.245,98</w:t>
            </w:r>
          </w:p>
        </w:tc>
        <w:tc>
          <w:tcPr>
            <w:tcW w:w="700" w:type="dxa"/>
            <w:tcMar>
              <w:top w:w="0" w:type="dxa"/>
              <w:bottom w:w="0" w:type="dxa"/>
            </w:tcMar>
            <w:vAlign w:val="center"/>
          </w:tcPr>
          <w:p w14:paraId="702FE21C" w14:textId="77777777" w:rsidR="000149DF" w:rsidRDefault="00000000">
            <w:pPr>
              <w:keepNext/>
              <w:keepLines/>
              <w:spacing w:after="0" w:line="240" w:lineRule="auto"/>
              <w:jc w:val="right"/>
            </w:pPr>
            <w:r>
              <w:rPr>
                <w:sz w:val="18"/>
              </w:rPr>
              <w:t>8401,8</w:t>
            </w:r>
          </w:p>
        </w:tc>
      </w:tr>
      <w:tr w:rsidR="000149DF" w14:paraId="50C36253" w14:textId="77777777">
        <w:tblPrEx>
          <w:tblCellMar>
            <w:top w:w="0" w:type="dxa"/>
            <w:bottom w:w="0" w:type="dxa"/>
          </w:tblCellMar>
        </w:tblPrEx>
        <w:trPr>
          <w:cantSplit/>
          <w:trHeight w:val="560"/>
        </w:trPr>
        <w:tc>
          <w:tcPr>
            <w:tcW w:w="700" w:type="dxa"/>
            <w:tcMar>
              <w:top w:w="0" w:type="dxa"/>
              <w:bottom w:w="0" w:type="dxa"/>
            </w:tcMar>
            <w:vAlign w:val="center"/>
          </w:tcPr>
          <w:p w14:paraId="07EE9698" w14:textId="77777777" w:rsidR="000149DF" w:rsidRDefault="00000000">
            <w:pPr>
              <w:keepNext/>
              <w:keepLines/>
              <w:spacing w:after="0" w:line="240" w:lineRule="auto"/>
            </w:pPr>
            <w:r>
              <w:rPr>
                <w:sz w:val="18"/>
              </w:rPr>
              <w:t>4</w:t>
            </w:r>
          </w:p>
        </w:tc>
        <w:tc>
          <w:tcPr>
            <w:tcW w:w="3180" w:type="dxa"/>
            <w:tcMar>
              <w:top w:w="0" w:type="dxa"/>
              <w:bottom w:w="0" w:type="dxa"/>
            </w:tcMar>
            <w:vAlign w:val="center"/>
          </w:tcPr>
          <w:p w14:paraId="6713F219" w14:textId="77777777" w:rsidR="000149DF" w:rsidRDefault="00000000">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033BA1B8" w14:textId="77777777" w:rsidR="000149DF" w:rsidRDefault="00000000">
            <w:pPr>
              <w:keepNext/>
              <w:keepLines/>
              <w:spacing w:after="0" w:line="240" w:lineRule="auto"/>
            </w:pPr>
            <w:r>
              <w:rPr>
                <w:sz w:val="18"/>
              </w:rPr>
              <w:t>4</w:t>
            </w:r>
          </w:p>
        </w:tc>
        <w:tc>
          <w:tcPr>
            <w:tcW w:w="1860" w:type="dxa"/>
            <w:tcMar>
              <w:top w:w="0" w:type="dxa"/>
              <w:bottom w:w="0" w:type="dxa"/>
            </w:tcMar>
            <w:vAlign w:val="center"/>
          </w:tcPr>
          <w:p w14:paraId="21B7D441" w14:textId="77777777" w:rsidR="000149DF" w:rsidRDefault="00000000">
            <w:pPr>
              <w:keepNext/>
              <w:keepLines/>
              <w:spacing w:after="0" w:line="240" w:lineRule="auto"/>
              <w:jc w:val="right"/>
            </w:pPr>
            <w:r>
              <w:rPr>
                <w:sz w:val="18"/>
              </w:rPr>
              <w:t>2.300.733,36</w:t>
            </w:r>
          </w:p>
        </w:tc>
        <w:tc>
          <w:tcPr>
            <w:tcW w:w="1860" w:type="dxa"/>
            <w:tcMar>
              <w:top w:w="0" w:type="dxa"/>
              <w:bottom w:w="0" w:type="dxa"/>
            </w:tcMar>
            <w:vAlign w:val="center"/>
          </w:tcPr>
          <w:p w14:paraId="2456953D" w14:textId="77777777" w:rsidR="000149DF" w:rsidRDefault="00000000">
            <w:pPr>
              <w:keepNext/>
              <w:keepLines/>
              <w:spacing w:after="0" w:line="240" w:lineRule="auto"/>
              <w:jc w:val="right"/>
            </w:pPr>
            <w:r>
              <w:rPr>
                <w:sz w:val="18"/>
              </w:rPr>
              <w:t>2.767.280,21</w:t>
            </w:r>
          </w:p>
        </w:tc>
        <w:tc>
          <w:tcPr>
            <w:tcW w:w="700" w:type="dxa"/>
            <w:tcMar>
              <w:top w:w="0" w:type="dxa"/>
              <w:bottom w:w="0" w:type="dxa"/>
            </w:tcMar>
            <w:vAlign w:val="center"/>
          </w:tcPr>
          <w:p w14:paraId="28A8048D" w14:textId="77777777" w:rsidR="000149DF" w:rsidRDefault="00000000">
            <w:pPr>
              <w:keepNext/>
              <w:keepLines/>
              <w:spacing w:after="0" w:line="240" w:lineRule="auto"/>
              <w:jc w:val="right"/>
            </w:pPr>
            <w:r>
              <w:rPr>
                <w:sz w:val="18"/>
              </w:rPr>
              <w:t>120,3</w:t>
            </w:r>
          </w:p>
        </w:tc>
      </w:tr>
      <w:tr w:rsidR="000149DF" w14:paraId="12C28C5E" w14:textId="77777777">
        <w:tblPrEx>
          <w:tblCellMar>
            <w:top w:w="0" w:type="dxa"/>
            <w:bottom w:w="0" w:type="dxa"/>
          </w:tblCellMar>
        </w:tblPrEx>
        <w:trPr>
          <w:cantSplit/>
          <w:trHeight w:val="560"/>
        </w:trPr>
        <w:tc>
          <w:tcPr>
            <w:tcW w:w="700" w:type="dxa"/>
            <w:tcMar>
              <w:top w:w="0" w:type="dxa"/>
              <w:bottom w:w="0" w:type="dxa"/>
            </w:tcMar>
            <w:vAlign w:val="center"/>
          </w:tcPr>
          <w:p w14:paraId="729FE078" w14:textId="77777777" w:rsidR="000149DF" w:rsidRDefault="000149DF">
            <w:pPr>
              <w:keepNext/>
              <w:keepLines/>
              <w:spacing w:after="0" w:line="240" w:lineRule="auto"/>
            </w:pPr>
          </w:p>
        </w:tc>
        <w:tc>
          <w:tcPr>
            <w:tcW w:w="3180" w:type="dxa"/>
            <w:tcMar>
              <w:top w:w="0" w:type="dxa"/>
              <w:bottom w:w="0" w:type="dxa"/>
            </w:tcMar>
            <w:vAlign w:val="center"/>
          </w:tcPr>
          <w:p w14:paraId="7A733F05" w14:textId="77777777" w:rsidR="000149DF" w:rsidRDefault="00000000">
            <w:pPr>
              <w:keepNext/>
              <w:keepLines/>
              <w:spacing w:after="0" w:line="240" w:lineRule="auto"/>
            </w:pPr>
            <w:r>
              <w:rPr>
                <w:b/>
                <w:sz w:val="18"/>
              </w:rPr>
              <w:t>MANJAK PRIHODA OD NEFINANCIJSKE IMOVINE (šifre 4-7)</w:t>
            </w:r>
          </w:p>
        </w:tc>
        <w:tc>
          <w:tcPr>
            <w:tcW w:w="700" w:type="dxa"/>
            <w:tcMar>
              <w:top w:w="0" w:type="dxa"/>
              <w:bottom w:w="0" w:type="dxa"/>
            </w:tcMar>
            <w:vAlign w:val="center"/>
          </w:tcPr>
          <w:p w14:paraId="3245A485" w14:textId="77777777" w:rsidR="000149DF" w:rsidRDefault="00000000">
            <w:pPr>
              <w:keepNext/>
              <w:keepLines/>
              <w:spacing w:after="0" w:line="240" w:lineRule="auto"/>
            </w:pPr>
            <w:r>
              <w:rPr>
                <w:b/>
                <w:sz w:val="18"/>
              </w:rPr>
              <w:t>Y002</w:t>
            </w:r>
          </w:p>
        </w:tc>
        <w:tc>
          <w:tcPr>
            <w:tcW w:w="1860" w:type="dxa"/>
            <w:tcMar>
              <w:top w:w="0" w:type="dxa"/>
              <w:bottom w:w="0" w:type="dxa"/>
            </w:tcMar>
            <w:vAlign w:val="center"/>
          </w:tcPr>
          <w:p w14:paraId="34C545FA" w14:textId="77777777" w:rsidR="000149DF" w:rsidRDefault="00000000">
            <w:pPr>
              <w:keepNext/>
              <w:keepLines/>
              <w:spacing w:after="0" w:line="240" w:lineRule="auto"/>
              <w:jc w:val="right"/>
            </w:pPr>
            <w:r>
              <w:rPr>
                <w:b/>
                <w:sz w:val="18"/>
              </w:rPr>
              <w:t>2.300.087,71</w:t>
            </w:r>
          </w:p>
        </w:tc>
        <w:tc>
          <w:tcPr>
            <w:tcW w:w="1860" w:type="dxa"/>
            <w:tcMar>
              <w:top w:w="0" w:type="dxa"/>
              <w:bottom w:w="0" w:type="dxa"/>
            </w:tcMar>
            <w:vAlign w:val="center"/>
          </w:tcPr>
          <w:p w14:paraId="0F1A627D" w14:textId="77777777" w:rsidR="000149DF" w:rsidRDefault="00000000">
            <w:pPr>
              <w:keepNext/>
              <w:keepLines/>
              <w:spacing w:after="0" w:line="240" w:lineRule="auto"/>
              <w:jc w:val="right"/>
            </w:pPr>
            <w:r>
              <w:rPr>
                <w:b/>
                <w:sz w:val="18"/>
              </w:rPr>
              <w:t>2.713.034,23</w:t>
            </w:r>
          </w:p>
        </w:tc>
        <w:tc>
          <w:tcPr>
            <w:tcW w:w="700" w:type="dxa"/>
            <w:tcMar>
              <w:top w:w="0" w:type="dxa"/>
              <w:bottom w:w="0" w:type="dxa"/>
            </w:tcMar>
            <w:vAlign w:val="center"/>
          </w:tcPr>
          <w:p w14:paraId="024100A6" w14:textId="77777777" w:rsidR="000149DF" w:rsidRDefault="00000000">
            <w:pPr>
              <w:keepNext/>
              <w:keepLines/>
              <w:spacing w:after="0" w:line="240" w:lineRule="auto"/>
              <w:jc w:val="right"/>
            </w:pPr>
            <w:r>
              <w:rPr>
                <w:b/>
                <w:sz w:val="18"/>
              </w:rPr>
              <w:t>118,0</w:t>
            </w:r>
          </w:p>
        </w:tc>
      </w:tr>
      <w:tr w:rsidR="000149DF" w14:paraId="271361B4" w14:textId="77777777">
        <w:tblPrEx>
          <w:tblCellMar>
            <w:top w:w="0" w:type="dxa"/>
            <w:bottom w:w="0" w:type="dxa"/>
          </w:tblCellMar>
        </w:tblPrEx>
        <w:trPr>
          <w:cantSplit/>
          <w:trHeight w:val="560"/>
        </w:trPr>
        <w:tc>
          <w:tcPr>
            <w:tcW w:w="700" w:type="dxa"/>
            <w:tcMar>
              <w:top w:w="0" w:type="dxa"/>
              <w:bottom w:w="0" w:type="dxa"/>
            </w:tcMar>
            <w:vAlign w:val="center"/>
          </w:tcPr>
          <w:p w14:paraId="4C8F9E22" w14:textId="77777777" w:rsidR="000149DF" w:rsidRDefault="00000000">
            <w:pPr>
              <w:keepNext/>
              <w:keepLines/>
              <w:spacing w:after="0" w:line="240" w:lineRule="auto"/>
            </w:pPr>
            <w:r>
              <w:rPr>
                <w:sz w:val="18"/>
              </w:rPr>
              <w:t>8</w:t>
            </w:r>
          </w:p>
        </w:tc>
        <w:tc>
          <w:tcPr>
            <w:tcW w:w="3180" w:type="dxa"/>
            <w:tcMar>
              <w:top w:w="0" w:type="dxa"/>
              <w:bottom w:w="0" w:type="dxa"/>
            </w:tcMar>
            <w:vAlign w:val="center"/>
          </w:tcPr>
          <w:p w14:paraId="3CB260BC" w14:textId="77777777" w:rsidR="000149DF" w:rsidRDefault="00000000">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2235D2BB" w14:textId="77777777" w:rsidR="000149DF" w:rsidRDefault="00000000">
            <w:pPr>
              <w:keepNext/>
              <w:keepLines/>
              <w:spacing w:after="0" w:line="240" w:lineRule="auto"/>
            </w:pPr>
            <w:r>
              <w:rPr>
                <w:sz w:val="18"/>
              </w:rPr>
              <w:t>8</w:t>
            </w:r>
          </w:p>
        </w:tc>
        <w:tc>
          <w:tcPr>
            <w:tcW w:w="1860" w:type="dxa"/>
            <w:tcMar>
              <w:top w:w="0" w:type="dxa"/>
              <w:bottom w:w="0" w:type="dxa"/>
            </w:tcMar>
            <w:vAlign w:val="center"/>
          </w:tcPr>
          <w:p w14:paraId="05E21FE3" w14:textId="77777777" w:rsidR="000149DF" w:rsidRDefault="00000000">
            <w:pPr>
              <w:keepNext/>
              <w:keepLines/>
              <w:spacing w:after="0" w:line="240" w:lineRule="auto"/>
              <w:jc w:val="right"/>
            </w:pPr>
            <w:r>
              <w:rPr>
                <w:sz w:val="18"/>
              </w:rPr>
              <w:t>1.083,70</w:t>
            </w:r>
          </w:p>
        </w:tc>
        <w:tc>
          <w:tcPr>
            <w:tcW w:w="1860" w:type="dxa"/>
            <w:tcMar>
              <w:top w:w="0" w:type="dxa"/>
              <w:bottom w:w="0" w:type="dxa"/>
            </w:tcMar>
            <w:vAlign w:val="center"/>
          </w:tcPr>
          <w:p w14:paraId="4EEDF3AC" w14:textId="77777777" w:rsidR="000149DF" w:rsidRDefault="00000000">
            <w:pPr>
              <w:keepNext/>
              <w:keepLines/>
              <w:spacing w:after="0" w:line="240" w:lineRule="auto"/>
              <w:jc w:val="right"/>
            </w:pPr>
            <w:r>
              <w:rPr>
                <w:sz w:val="18"/>
              </w:rPr>
              <w:t>0,00</w:t>
            </w:r>
          </w:p>
        </w:tc>
        <w:tc>
          <w:tcPr>
            <w:tcW w:w="700" w:type="dxa"/>
            <w:tcMar>
              <w:top w:w="0" w:type="dxa"/>
              <w:bottom w:w="0" w:type="dxa"/>
            </w:tcMar>
            <w:vAlign w:val="center"/>
          </w:tcPr>
          <w:p w14:paraId="19A9EDC5" w14:textId="77777777" w:rsidR="000149DF" w:rsidRDefault="00000000">
            <w:pPr>
              <w:keepNext/>
              <w:keepLines/>
              <w:spacing w:after="0" w:line="240" w:lineRule="auto"/>
              <w:jc w:val="right"/>
            </w:pPr>
            <w:r>
              <w:rPr>
                <w:sz w:val="18"/>
              </w:rPr>
              <w:t>0</w:t>
            </w:r>
          </w:p>
        </w:tc>
      </w:tr>
      <w:tr w:rsidR="000149DF" w14:paraId="15237A3D" w14:textId="77777777">
        <w:tblPrEx>
          <w:tblCellMar>
            <w:top w:w="0" w:type="dxa"/>
            <w:bottom w:w="0" w:type="dxa"/>
          </w:tblCellMar>
        </w:tblPrEx>
        <w:trPr>
          <w:cantSplit/>
          <w:trHeight w:val="560"/>
        </w:trPr>
        <w:tc>
          <w:tcPr>
            <w:tcW w:w="700" w:type="dxa"/>
            <w:tcMar>
              <w:top w:w="0" w:type="dxa"/>
              <w:bottom w:w="0" w:type="dxa"/>
            </w:tcMar>
            <w:vAlign w:val="center"/>
          </w:tcPr>
          <w:p w14:paraId="2D9806A4" w14:textId="77777777" w:rsidR="000149DF" w:rsidRDefault="00000000">
            <w:pPr>
              <w:keepNext/>
              <w:keepLines/>
              <w:spacing w:after="0" w:line="240" w:lineRule="auto"/>
            </w:pPr>
            <w:r>
              <w:rPr>
                <w:sz w:val="18"/>
              </w:rPr>
              <w:t>5</w:t>
            </w:r>
          </w:p>
        </w:tc>
        <w:tc>
          <w:tcPr>
            <w:tcW w:w="3180" w:type="dxa"/>
            <w:tcMar>
              <w:top w:w="0" w:type="dxa"/>
              <w:bottom w:w="0" w:type="dxa"/>
            </w:tcMar>
            <w:vAlign w:val="center"/>
          </w:tcPr>
          <w:p w14:paraId="3C4389A9" w14:textId="77777777" w:rsidR="000149DF" w:rsidRDefault="00000000">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0604E832" w14:textId="77777777" w:rsidR="000149DF" w:rsidRDefault="00000000">
            <w:pPr>
              <w:keepNext/>
              <w:keepLines/>
              <w:spacing w:after="0" w:line="240" w:lineRule="auto"/>
            </w:pPr>
            <w:r>
              <w:rPr>
                <w:sz w:val="18"/>
              </w:rPr>
              <w:t>5</w:t>
            </w:r>
          </w:p>
        </w:tc>
        <w:tc>
          <w:tcPr>
            <w:tcW w:w="1860" w:type="dxa"/>
            <w:tcMar>
              <w:top w:w="0" w:type="dxa"/>
              <w:bottom w:w="0" w:type="dxa"/>
            </w:tcMar>
            <w:vAlign w:val="center"/>
          </w:tcPr>
          <w:p w14:paraId="054C8ACD" w14:textId="77777777" w:rsidR="000149DF" w:rsidRDefault="00000000">
            <w:pPr>
              <w:keepNext/>
              <w:keepLines/>
              <w:spacing w:after="0" w:line="240" w:lineRule="auto"/>
              <w:jc w:val="right"/>
            </w:pPr>
            <w:r>
              <w:rPr>
                <w:sz w:val="18"/>
              </w:rPr>
              <w:t>1,00</w:t>
            </w:r>
          </w:p>
        </w:tc>
        <w:tc>
          <w:tcPr>
            <w:tcW w:w="1860" w:type="dxa"/>
            <w:tcMar>
              <w:top w:w="0" w:type="dxa"/>
              <w:bottom w:w="0" w:type="dxa"/>
            </w:tcMar>
            <w:vAlign w:val="center"/>
          </w:tcPr>
          <w:p w14:paraId="64759CA2" w14:textId="77777777" w:rsidR="000149DF" w:rsidRDefault="00000000">
            <w:pPr>
              <w:keepNext/>
              <w:keepLines/>
              <w:spacing w:after="0" w:line="240" w:lineRule="auto"/>
              <w:jc w:val="right"/>
            </w:pPr>
            <w:r>
              <w:rPr>
                <w:sz w:val="18"/>
              </w:rPr>
              <w:t>0,00</w:t>
            </w:r>
          </w:p>
        </w:tc>
        <w:tc>
          <w:tcPr>
            <w:tcW w:w="700" w:type="dxa"/>
            <w:tcMar>
              <w:top w:w="0" w:type="dxa"/>
              <w:bottom w:w="0" w:type="dxa"/>
            </w:tcMar>
            <w:vAlign w:val="center"/>
          </w:tcPr>
          <w:p w14:paraId="0F06DB9B" w14:textId="77777777" w:rsidR="000149DF" w:rsidRDefault="00000000">
            <w:pPr>
              <w:keepNext/>
              <w:keepLines/>
              <w:spacing w:after="0" w:line="240" w:lineRule="auto"/>
              <w:jc w:val="right"/>
            </w:pPr>
            <w:r>
              <w:rPr>
                <w:sz w:val="18"/>
              </w:rPr>
              <w:t>0</w:t>
            </w:r>
          </w:p>
        </w:tc>
      </w:tr>
      <w:tr w:rsidR="000149DF" w14:paraId="26C67983" w14:textId="77777777">
        <w:tblPrEx>
          <w:tblCellMar>
            <w:top w:w="0" w:type="dxa"/>
            <w:bottom w:w="0" w:type="dxa"/>
          </w:tblCellMar>
        </w:tblPrEx>
        <w:trPr>
          <w:cantSplit/>
          <w:trHeight w:val="560"/>
        </w:trPr>
        <w:tc>
          <w:tcPr>
            <w:tcW w:w="700" w:type="dxa"/>
            <w:tcMar>
              <w:top w:w="0" w:type="dxa"/>
              <w:bottom w:w="0" w:type="dxa"/>
            </w:tcMar>
            <w:vAlign w:val="center"/>
          </w:tcPr>
          <w:p w14:paraId="0D154118" w14:textId="77777777" w:rsidR="000149DF" w:rsidRDefault="000149DF">
            <w:pPr>
              <w:keepNext/>
              <w:keepLines/>
              <w:spacing w:after="0" w:line="240" w:lineRule="auto"/>
            </w:pPr>
          </w:p>
        </w:tc>
        <w:tc>
          <w:tcPr>
            <w:tcW w:w="3180" w:type="dxa"/>
            <w:tcMar>
              <w:top w:w="0" w:type="dxa"/>
              <w:bottom w:w="0" w:type="dxa"/>
            </w:tcMar>
            <w:vAlign w:val="center"/>
          </w:tcPr>
          <w:p w14:paraId="036EDB69" w14:textId="77777777" w:rsidR="000149DF" w:rsidRDefault="00000000">
            <w:pPr>
              <w:keepNext/>
              <w:keepLines/>
              <w:spacing w:after="0" w:line="240" w:lineRule="auto"/>
            </w:pPr>
            <w:r>
              <w:rPr>
                <w:b/>
                <w:sz w:val="18"/>
              </w:rPr>
              <w:t>VIŠAK/MANJAK PRIMITAKA OD FINANCIJSKE IMOVINE I ZADUŽIVANJA (šifre 8-5, 5-8)</w:t>
            </w:r>
          </w:p>
        </w:tc>
        <w:tc>
          <w:tcPr>
            <w:tcW w:w="700" w:type="dxa"/>
            <w:tcMar>
              <w:top w:w="0" w:type="dxa"/>
              <w:bottom w:w="0" w:type="dxa"/>
            </w:tcMar>
            <w:vAlign w:val="center"/>
          </w:tcPr>
          <w:p w14:paraId="4EE40CA2" w14:textId="77777777" w:rsidR="000149DF" w:rsidRDefault="00000000">
            <w:pPr>
              <w:keepNext/>
              <w:keepLines/>
              <w:spacing w:after="0" w:line="240" w:lineRule="auto"/>
            </w:pPr>
            <w:r>
              <w:rPr>
                <w:b/>
                <w:sz w:val="18"/>
              </w:rPr>
              <w:t>X003, Y003</w:t>
            </w:r>
          </w:p>
        </w:tc>
        <w:tc>
          <w:tcPr>
            <w:tcW w:w="1860" w:type="dxa"/>
            <w:tcMar>
              <w:top w:w="0" w:type="dxa"/>
              <w:bottom w:w="0" w:type="dxa"/>
            </w:tcMar>
            <w:vAlign w:val="center"/>
          </w:tcPr>
          <w:p w14:paraId="1DC57341" w14:textId="77777777" w:rsidR="000149DF" w:rsidRDefault="00000000">
            <w:pPr>
              <w:keepNext/>
              <w:keepLines/>
              <w:spacing w:after="0" w:line="240" w:lineRule="auto"/>
              <w:jc w:val="right"/>
            </w:pPr>
            <w:r>
              <w:rPr>
                <w:b/>
                <w:sz w:val="18"/>
              </w:rPr>
              <w:t>0,00</w:t>
            </w:r>
          </w:p>
        </w:tc>
        <w:tc>
          <w:tcPr>
            <w:tcW w:w="1860" w:type="dxa"/>
            <w:tcMar>
              <w:top w:w="0" w:type="dxa"/>
              <w:bottom w:w="0" w:type="dxa"/>
            </w:tcMar>
            <w:vAlign w:val="center"/>
          </w:tcPr>
          <w:p w14:paraId="3AE33445" w14:textId="77777777" w:rsidR="000149DF" w:rsidRDefault="00000000">
            <w:pPr>
              <w:keepNext/>
              <w:keepLines/>
              <w:spacing w:after="0" w:line="240" w:lineRule="auto"/>
              <w:jc w:val="right"/>
            </w:pPr>
            <w:r>
              <w:rPr>
                <w:b/>
                <w:sz w:val="18"/>
              </w:rPr>
              <w:t>0,00</w:t>
            </w:r>
          </w:p>
        </w:tc>
        <w:tc>
          <w:tcPr>
            <w:tcW w:w="700" w:type="dxa"/>
            <w:tcMar>
              <w:top w:w="0" w:type="dxa"/>
              <w:bottom w:w="0" w:type="dxa"/>
            </w:tcMar>
            <w:vAlign w:val="center"/>
          </w:tcPr>
          <w:p w14:paraId="395902A0" w14:textId="77777777" w:rsidR="000149DF" w:rsidRDefault="00000000">
            <w:pPr>
              <w:keepNext/>
              <w:keepLines/>
              <w:spacing w:after="0" w:line="240" w:lineRule="auto"/>
              <w:jc w:val="right"/>
            </w:pPr>
            <w:r>
              <w:rPr>
                <w:b/>
                <w:sz w:val="18"/>
              </w:rPr>
              <w:t>-</w:t>
            </w:r>
          </w:p>
        </w:tc>
      </w:tr>
      <w:tr w:rsidR="000149DF" w14:paraId="4CD48388" w14:textId="77777777">
        <w:tblPrEx>
          <w:tblCellMar>
            <w:top w:w="0" w:type="dxa"/>
            <w:bottom w:w="0" w:type="dxa"/>
          </w:tblCellMar>
        </w:tblPrEx>
        <w:trPr>
          <w:cantSplit/>
          <w:trHeight w:val="560"/>
        </w:trPr>
        <w:tc>
          <w:tcPr>
            <w:tcW w:w="700" w:type="dxa"/>
            <w:tcMar>
              <w:top w:w="0" w:type="dxa"/>
              <w:bottom w:w="0" w:type="dxa"/>
            </w:tcMar>
            <w:vAlign w:val="center"/>
          </w:tcPr>
          <w:p w14:paraId="273051B6" w14:textId="77777777" w:rsidR="000149DF" w:rsidRDefault="000149DF">
            <w:pPr>
              <w:keepNext/>
              <w:keepLines/>
              <w:spacing w:after="0" w:line="240" w:lineRule="auto"/>
            </w:pPr>
          </w:p>
        </w:tc>
        <w:tc>
          <w:tcPr>
            <w:tcW w:w="3180" w:type="dxa"/>
            <w:tcMar>
              <w:top w:w="0" w:type="dxa"/>
              <w:bottom w:w="0" w:type="dxa"/>
            </w:tcMar>
            <w:vAlign w:val="center"/>
          </w:tcPr>
          <w:p w14:paraId="03BB72A9" w14:textId="77777777" w:rsidR="000149DF" w:rsidRDefault="00000000">
            <w:pPr>
              <w:keepNext/>
              <w:keepLines/>
              <w:spacing w:after="0" w:line="240" w:lineRule="auto"/>
            </w:pPr>
            <w:r>
              <w:rPr>
                <w:b/>
                <w:sz w:val="18"/>
              </w:rPr>
              <w:t>MANJAK PRIHODA I PRIMITAKA (šifre Y345-X678)</w:t>
            </w:r>
          </w:p>
        </w:tc>
        <w:tc>
          <w:tcPr>
            <w:tcW w:w="700" w:type="dxa"/>
            <w:tcMar>
              <w:top w:w="0" w:type="dxa"/>
              <w:bottom w:w="0" w:type="dxa"/>
            </w:tcMar>
            <w:vAlign w:val="center"/>
          </w:tcPr>
          <w:p w14:paraId="492A7212" w14:textId="77777777" w:rsidR="000149DF" w:rsidRDefault="00000000">
            <w:pPr>
              <w:keepNext/>
              <w:keepLines/>
              <w:spacing w:after="0" w:line="240" w:lineRule="auto"/>
            </w:pPr>
            <w:r>
              <w:rPr>
                <w:b/>
                <w:sz w:val="18"/>
              </w:rPr>
              <w:t>Y005</w:t>
            </w:r>
          </w:p>
        </w:tc>
        <w:tc>
          <w:tcPr>
            <w:tcW w:w="1860" w:type="dxa"/>
            <w:tcMar>
              <w:top w:w="0" w:type="dxa"/>
              <w:bottom w:w="0" w:type="dxa"/>
            </w:tcMar>
            <w:vAlign w:val="center"/>
          </w:tcPr>
          <w:p w14:paraId="7C66EA9C" w14:textId="77777777" w:rsidR="000149DF" w:rsidRDefault="00000000">
            <w:pPr>
              <w:keepNext/>
              <w:keepLines/>
              <w:spacing w:after="0" w:line="240" w:lineRule="auto"/>
              <w:jc w:val="right"/>
            </w:pPr>
            <w:r>
              <w:rPr>
                <w:b/>
                <w:sz w:val="18"/>
              </w:rPr>
              <w:t>0,00</w:t>
            </w:r>
          </w:p>
        </w:tc>
        <w:tc>
          <w:tcPr>
            <w:tcW w:w="1860" w:type="dxa"/>
            <w:tcMar>
              <w:top w:w="0" w:type="dxa"/>
              <w:bottom w:w="0" w:type="dxa"/>
            </w:tcMar>
            <w:vAlign w:val="center"/>
          </w:tcPr>
          <w:p w14:paraId="13436D38" w14:textId="77777777" w:rsidR="000149DF" w:rsidRDefault="00000000">
            <w:pPr>
              <w:keepNext/>
              <w:keepLines/>
              <w:spacing w:after="0" w:line="240" w:lineRule="auto"/>
              <w:jc w:val="right"/>
            </w:pPr>
            <w:r>
              <w:rPr>
                <w:b/>
                <w:sz w:val="18"/>
              </w:rPr>
              <w:t>1.569.640,95</w:t>
            </w:r>
          </w:p>
        </w:tc>
        <w:tc>
          <w:tcPr>
            <w:tcW w:w="700" w:type="dxa"/>
            <w:tcMar>
              <w:top w:w="0" w:type="dxa"/>
              <w:bottom w:w="0" w:type="dxa"/>
            </w:tcMar>
            <w:vAlign w:val="center"/>
          </w:tcPr>
          <w:p w14:paraId="1CC1AB47" w14:textId="77777777" w:rsidR="000149DF" w:rsidRDefault="00000000">
            <w:pPr>
              <w:keepNext/>
              <w:keepLines/>
              <w:spacing w:after="0" w:line="240" w:lineRule="auto"/>
              <w:jc w:val="right"/>
            </w:pPr>
            <w:r>
              <w:rPr>
                <w:b/>
                <w:sz w:val="18"/>
              </w:rPr>
              <w:t>-</w:t>
            </w:r>
          </w:p>
        </w:tc>
      </w:tr>
    </w:tbl>
    <w:p w14:paraId="0FC6CFDA" w14:textId="77777777" w:rsidR="000149DF" w:rsidRDefault="000149DF">
      <w:pPr>
        <w:spacing w:after="0"/>
      </w:pPr>
    </w:p>
    <w:p w14:paraId="592090B2" w14:textId="77777777" w:rsidR="000149DF" w:rsidRDefault="00000000">
      <w:r>
        <w:t xml:space="preserve">U razdoblju od 1. siječnja do 31. prosinca 2025. godine prihodi poslovanja ostvareni su u iznosu od 48.490.406,20 €. Najznačajnije povećanje prihoda poslovanja ostvareno je na pomoćima temeljem prijenosa EU sredstava, a najznačajnije smanjenje ostvareno je na pomoćima od međunarodnih organizacija te institucija i tijela EU. Rashodi poslovanja u razdoblju od 1. siječnja do 31. prosinca 2025. godine ostvareni su u iznosu od 47.347.012,92 €. Najznačajnije povećanje rashoda evidentirano je na pomoćima temeljem prijenosa EU sredstava koje je nastalo zbog početka provođenja novih EU projekata. Najznačajnije </w:t>
      </w:r>
      <w:r>
        <w:lastRenderedPageBreak/>
        <w:t>smanjenje rashoda zabilježeno je na kapitalnim pomoćima zbog različite dinamike doznačavanja sredstava Agenciji za gospodarenje otpadom. U promatranom razdoblju prihodi od prodaje nefinancijske imovine ostvareni su u iznosu od 54.245,98 € i najvećim dijelom se odnose na prihode vezane za upravljanje državnom imovinom što predstavlja novi prihod za županiju.  Rashodi za nabavu nefinancijske imovine iznose 2.67.280,21 €, najznačajnije povećanje odnosi ulaganja na građevinskim objektima, a smanjenje na nematerijalna proizvedena imovina. U izvještajnom razdoblju ostvaren je višak prihoda poslovanja u iznosu od 1.143.393,28 €  i manjak prihoda od nefinancijske imovine u iznosu 2.713.034,23 €  slijedom čega je na kraju izvještajnog razdoblja ostvaren ukupan manjak prihoda i primitaka u iznosu od 1.569.640,95 €</w:t>
      </w:r>
    </w:p>
    <w:p w14:paraId="515BE6D6" w14:textId="77777777" w:rsidR="000149DF" w:rsidRDefault="00000000">
      <w:r>
        <w:br/>
      </w:r>
    </w:p>
    <w:p w14:paraId="4DB38857" w14:textId="77777777" w:rsidR="000149DF" w:rsidRDefault="00000000">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3FFE23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B826152"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3DC8052"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D33BB9B"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4B0FFC6"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551404C"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91C76A1" w14:textId="77777777" w:rsidR="000149DF" w:rsidRDefault="00000000">
            <w:pPr>
              <w:keepNext/>
              <w:keepLines/>
              <w:spacing w:after="0" w:line="240" w:lineRule="auto"/>
              <w:jc w:val="center"/>
            </w:pPr>
            <w:r>
              <w:rPr>
                <w:b/>
                <w:sz w:val="18"/>
              </w:rPr>
              <w:t>Indeks (%)</w:t>
            </w:r>
          </w:p>
        </w:tc>
      </w:tr>
      <w:tr w:rsidR="000149DF" w14:paraId="43C40239" w14:textId="77777777">
        <w:tblPrEx>
          <w:tblCellMar>
            <w:top w:w="0" w:type="dxa"/>
            <w:bottom w:w="0" w:type="dxa"/>
          </w:tblCellMar>
        </w:tblPrEx>
        <w:trPr>
          <w:cantSplit/>
          <w:trHeight w:val="560"/>
        </w:trPr>
        <w:tc>
          <w:tcPr>
            <w:tcW w:w="700" w:type="dxa"/>
            <w:tcMar>
              <w:top w:w="0" w:type="dxa"/>
              <w:bottom w:w="0" w:type="dxa"/>
            </w:tcMar>
            <w:vAlign w:val="center"/>
          </w:tcPr>
          <w:p w14:paraId="5A964F1D" w14:textId="77777777" w:rsidR="000149DF" w:rsidRDefault="00000000">
            <w:pPr>
              <w:keepNext/>
              <w:keepLines/>
              <w:spacing w:after="0" w:line="240" w:lineRule="auto"/>
            </w:pPr>
            <w:r>
              <w:rPr>
                <w:sz w:val="18"/>
              </w:rPr>
              <w:t>6111</w:t>
            </w:r>
          </w:p>
        </w:tc>
        <w:tc>
          <w:tcPr>
            <w:tcW w:w="3180" w:type="dxa"/>
            <w:tcMar>
              <w:top w:w="0" w:type="dxa"/>
              <w:bottom w:w="0" w:type="dxa"/>
            </w:tcMar>
            <w:vAlign w:val="center"/>
          </w:tcPr>
          <w:p w14:paraId="53660465" w14:textId="77777777" w:rsidR="000149DF" w:rsidRDefault="00000000">
            <w:pPr>
              <w:keepNext/>
              <w:keepLines/>
              <w:spacing w:after="0" w:line="240" w:lineRule="auto"/>
            </w:pPr>
            <w:r>
              <w:rPr>
                <w:sz w:val="18"/>
              </w:rPr>
              <w:t>Porez na dohodak od nesamostalnog rada</w:t>
            </w:r>
          </w:p>
        </w:tc>
        <w:tc>
          <w:tcPr>
            <w:tcW w:w="700" w:type="dxa"/>
            <w:tcMar>
              <w:top w:w="0" w:type="dxa"/>
              <w:bottom w:w="0" w:type="dxa"/>
            </w:tcMar>
            <w:vAlign w:val="center"/>
          </w:tcPr>
          <w:p w14:paraId="0BC37002" w14:textId="77777777" w:rsidR="000149DF" w:rsidRDefault="00000000">
            <w:pPr>
              <w:keepNext/>
              <w:keepLines/>
              <w:spacing w:after="0" w:line="240" w:lineRule="auto"/>
            </w:pPr>
            <w:r>
              <w:rPr>
                <w:sz w:val="18"/>
              </w:rPr>
              <w:t>6111</w:t>
            </w:r>
          </w:p>
        </w:tc>
        <w:tc>
          <w:tcPr>
            <w:tcW w:w="1860" w:type="dxa"/>
            <w:tcMar>
              <w:top w:w="0" w:type="dxa"/>
              <w:bottom w:w="0" w:type="dxa"/>
            </w:tcMar>
            <w:vAlign w:val="center"/>
          </w:tcPr>
          <w:p w14:paraId="63ACC3FB" w14:textId="77777777" w:rsidR="000149DF" w:rsidRDefault="00000000">
            <w:pPr>
              <w:keepNext/>
              <w:keepLines/>
              <w:spacing w:after="0" w:line="240" w:lineRule="auto"/>
              <w:jc w:val="right"/>
            </w:pPr>
            <w:r>
              <w:rPr>
                <w:sz w:val="18"/>
              </w:rPr>
              <w:t>16.912.630,82</w:t>
            </w:r>
          </w:p>
        </w:tc>
        <w:tc>
          <w:tcPr>
            <w:tcW w:w="1860" w:type="dxa"/>
            <w:tcMar>
              <w:top w:w="0" w:type="dxa"/>
              <w:bottom w:w="0" w:type="dxa"/>
            </w:tcMar>
            <w:vAlign w:val="center"/>
          </w:tcPr>
          <w:p w14:paraId="75E76A6B" w14:textId="77777777" w:rsidR="000149DF" w:rsidRDefault="00000000">
            <w:pPr>
              <w:keepNext/>
              <w:keepLines/>
              <w:spacing w:after="0" w:line="240" w:lineRule="auto"/>
              <w:jc w:val="right"/>
            </w:pPr>
            <w:r>
              <w:rPr>
                <w:sz w:val="18"/>
              </w:rPr>
              <w:t>20.245.648,79</w:t>
            </w:r>
          </w:p>
        </w:tc>
        <w:tc>
          <w:tcPr>
            <w:tcW w:w="700" w:type="dxa"/>
            <w:tcMar>
              <w:top w:w="0" w:type="dxa"/>
              <w:bottom w:w="0" w:type="dxa"/>
            </w:tcMar>
            <w:vAlign w:val="center"/>
          </w:tcPr>
          <w:p w14:paraId="49EA7CD6" w14:textId="77777777" w:rsidR="000149DF" w:rsidRDefault="00000000">
            <w:pPr>
              <w:keepNext/>
              <w:keepLines/>
              <w:spacing w:after="0" w:line="240" w:lineRule="auto"/>
              <w:jc w:val="right"/>
            </w:pPr>
            <w:r>
              <w:rPr>
                <w:sz w:val="18"/>
              </w:rPr>
              <w:t>119,7</w:t>
            </w:r>
          </w:p>
        </w:tc>
      </w:tr>
    </w:tbl>
    <w:p w14:paraId="51960E70" w14:textId="77777777" w:rsidR="000149DF" w:rsidRDefault="000149DF">
      <w:pPr>
        <w:spacing w:after="0"/>
      </w:pPr>
    </w:p>
    <w:p w14:paraId="04B4AE57" w14:textId="77777777" w:rsidR="000149DF" w:rsidRDefault="00000000">
      <w:r>
        <w:t>Prihodi od poreza na dohodak od nesamostalnog rada bilježi povećanje od 19,7% u odnosu na prethodno razdoblje zbog rasta plaća stanovnika na području Županije.</w:t>
      </w:r>
    </w:p>
    <w:p w14:paraId="2290F64E" w14:textId="77777777" w:rsidR="000149DF" w:rsidRDefault="000149DF"/>
    <w:p w14:paraId="2E45D8BE" w14:textId="77777777" w:rsidR="000149DF" w:rsidRDefault="00000000">
      <w:pPr>
        <w:keepNext/>
        <w:spacing w:line="240" w:lineRule="auto"/>
        <w:jc w:val="center"/>
      </w:pPr>
      <w:r>
        <w:rPr>
          <w:sz w:val="28"/>
        </w:rPr>
        <w:t>Bilješka 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D34F5F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898B2A9"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50ADBBB"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C9C62B6"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683A86D"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3E11BF1"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DF9A4D2" w14:textId="77777777" w:rsidR="000149DF" w:rsidRDefault="00000000">
            <w:pPr>
              <w:keepNext/>
              <w:keepLines/>
              <w:spacing w:after="0" w:line="240" w:lineRule="auto"/>
              <w:jc w:val="center"/>
            </w:pPr>
            <w:r>
              <w:rPr>
                <w:b/>
                <w:sz w:val="18"/>
              </w:rPr>
              <w:t>Indeks (%)</w:t>
            </w:r>
          </w:p>
        </w:tc>
      </w:tr>
      <w:tr w:rsidR="000149DF" w14:paraId="3FE04432" w14:textId="77777777">
        <w:tblPrEx>
          <w:tblCellMar>
            <w:top w:w="0" w:type="dxa"/>
            <w:bottom w:w="0" w:type="dxa"/>
          </w:tblCellMar>
        </w:tblPrEx>
        <w:trPr>
          <w:cantSplit/>
          <w:trHeight w:val="560"/>
        </w:trPr>
        <w:tc>
          <w:tcPr>
            <w:tcW w:w="700" w:type="dxa"/>
            <w:tcMar>
              <w:top w:w="0" w:type="dxa"/>
              <w:bottom w:w="0" w:type="dxa"/>
            </w:tcMar>
            <w:vAlign w:val="center"/>
          </w:tcPr>
          <w:p w14:paraId="13CBD686" w14:textId="77777777" w:rsidR="000149DF" w:rsidRDefault="00000000">
            <w:pPr>
              <w:keepNext/>
              <w:keepLines/>
              <w:spacing w:after="0" w:line="240" w:lineRule="auto"/>
            </w:pPr>
            <w:r>
              <w:rPr>
                <w:sz w:val="18"/>
              </w:rPr>
              <w:t>6131</w:t>
            </w:r>
          </w:p>
        </w:tc>
        <w:tc>
          <w:tcPr>
            <w:tcW w:w="3180" w:type="dxa"/>
            <w:tcMar>
              <w:top w:w="0" w:type="dxa"/>
              <w:bottom w:w="0" w:type="dxa"/>
            </w:tcMar>
            <w:vAlign w:val="center"/>
          </w:tcPr>
          <w:p w14:paraId="0DF1A075" w14:textId="77777777" w:rsidR="000149DF" w:rsidRDefault="00000000">
            <w:pPr>
              <w:keepNext/>
              <w:keepLines/>
              <w:spacing w:after="0" w:line="240" w:lineRule="auto"/>
            </w:pPr>
            <w:r>
              <w:rPr>
                <w:sz w:val="18"/>
              </w:rPr>
              <w:t>Stalni porezi na nepokretnu imovinu (zemlju, zgrade, kuće i ostalo)</w:t>
            </w:r>
          </w:p>
        </w:tc>
        <w:tc>
          <w:tcPr>
            <w:tcW w:w="700" w:type="dxa"/>
            <w:tcMar>
              <w:top w:w="0" w:type="dxa"/>
              <w:bottom w:w="0" w:type="dxa"/>
            </w:tcMar>
            <w:vAlign w:val="center"/>
          </w:tcPr>
          <w:p w14:paraId="09A570D0" w14:textId="77777777" w:rsidR="000149DF" w:rsidRDefault="00000000">
            <w:pPr>
              <w:keepNext/>
              <w:keepLines/>
              <w:spacing w:after="0" w:line="240" w:lineRule="auto"/>
            </w:pPr>
            <w:r>
              <w:rPr>
                <w:sz w:val="18"/>
              </w:rPr>
              <w:t>6131</w:t>
            </w:r>
          </w:p>
        </w:tc>
        <w:tc>
          <w:tcPr>
            <w:tcW w:w="1860" w:type="dxa"/>
            <w:tcMar>
              <w:top w:w="0" w:type="dxa"/>
              <w:bottom w:w="0" w:type="dxa"/>
            </w:tcMar>
            <w:vAlign w:val="center"/>
          </w:tcPr>
          <w:p w14:paraId="2AE599E8" w14:textId="77777777" w:rsidR="000149DF" w:rsidRDefault="00000000">
            <w:pPr>
              <w:keepNext/>
              <w:keepLines/>
              <w:spacing w:after="0" w:line="240" w:lineRule="auto"/>
              <w:jc w:val="right"/>
            </w:pPr>
            <w:r>
              <w:rPr>
                <w:sz w:val="18"/>
              </w:rPr>
              <w:t>0,00</w:t>
            </w:r>
          </w:p>
        </w:tc>
        <w:tc>
          <w:tcPr>
            <w:tcW w:w="1860" w:type="dxa"/>
            <w:tcMar>
              <w:top w:w="0" w:type="dxa"/>
              <w:bottom w:w="0" w:type="dxa"/>
            </w:tcMar>
            <w:vAlign w:val="center"/>
          </w:tcPr>
          <w:p w14:paraId="454E118D" w14:textId="77777777" w:rsidR="000149DF" w:rsidRDefault="00000000">
            <w:pPr>
              <w:keepNext/>
              <w:keepLines/>
              <w:spacing w:after="0" w:line="240" w:lineRule="auto"/>
              <w:jc w:val="right"/>
            </w:pPr>
            <w:r>
              <w:rPr>
                <w:sz w:val="18"/>
              </w:rPr>
              <w:t>320.478,78</w:t>
            </w:r>
          </w:p>
        </w:tc>
        <w:tc>
          <w:tcPr>
            <w:tcW w:w="700" w:type="dxa"/>
            <w:tcMar>
              <w:top w:w="0" w:type="dxa"/>
              <w:bottom w:w="0" w:type="dxa"/>
            </w:tcMar>
            <w:vAlign w:val="center"/>
          </w:tcPr>
          <w:p w14:paraId="5F0437DF" w14:textId="77777777" w:rsidR="000149DF" w:rsidRDefault="00000000">
            <w:pPr>
              <w:keepNext/>
              <w:keepLines/>
              <w:spacing w:after="0" w:line="240" w:lineRule="auto"/>
              <w:jc w:val="right"/>
            </w:pPr>
            <w:r>
              <w:rPr>
                <w:sz w:val="18"/>
              </w:rPr>
              <w:t>-</w:t>
            </w:r>
          </w:p>
        </w:tc>
      </w:tr>
    </w:tbl>
    <w:p w14:paraId="19A5185E" w14:textId="77777777" w:rsidR="000149DF" w:rsidRDefault="000149DF">
      <w:pPr>
        <w:spacing w:after="0"/>
      </w:pPr>
    </w:p>
    <w:p w14:paraId="6DA49EB2" w14:textId="77777777" w:rsidR="000149DF" w:rsidRDefault="00000000">
      <w:r>
        <w:t>Iznos od 320.478,78 € odnosi se porez na nekretnine što predstavlja novi prihod u 2025. godini.</w:t>
      </w:r>
    </w:p>
    <w:p w14:paraId="5F68F69E" w14:textId="77777777" w:rsidR="000149DF" w:rsidRDefault="000149DF"/>
    <w:p w14:paraId="58C9F13A" w14:textId="77777777" w:rsidR="000149DF" w:rsidRDefault="00000000">
      <w:pPr>
        <w:keepNext/>
        <w:spacing w:line="240" w:lineRule="auto"/>
        <w:jc w:val="center"/>
      </w:pPr>
      <w:r>
        <w:rPr>
          <w:sz w:val="28"/>
        </w:rPr>
        <w:t>Bilješka 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3D8FA1D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6381224"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01CC146"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A2F7E3C"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B0A9B89"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0FDCB82"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3751412" w14:textId="77777777" w:rsidR="000149DF" w:rsidRDefault="00000000">
            <w:pPr>
              <w:keepNext/>
              <w:keepLines/>
              <w:spacing w:after="0" w:line="240" w:lineRule="auto"/>
              <w:jc w:val="center"/>
            </w:pPr>
            <w:r>
              <w:rPr>
                <w:b/>
                <w:sz w:val="18"/>
              </w:rPr>
              <w:t>Indeks (%)</w:t>
            </w:r>
          </w:p>
        </w:tc>
      </w:tr>
      <w:tr w:rsidR="000149DF" w14:paraId="6C83C8C0" w14:textId="77777777">
        <w:tblPrEx>
          <w:tblCellMar>
            <w:top w:w="0" w:type="dxa"/>
            <w:bottom w:w="0" w:type="dxa"/>
          </w:tblCellMar>
        </w:tblPrEx>
        <w:trPr>
          <w:cantSplit/>
          <w:trHeight w:val="560"/>
        </w:trPr>
        <w:tc>
          <w:tcPr>
            <w:tcW w:w="700" w:type="dxa"/>
            <w:tcMar>
              <w:top w:w="0" w:type="dxa"/>
              <w:bottom w:w="0" w:type="dxa"/>
            </w:tcMar>
            <w:vAlign w:val="center"/>
          </w:tcPr>
          <w:p w14:paraId="4A40DB39" w14:textId="77777777" w:rsidR="000149DF" w:rsidRDefault="00000000">
            <w:pPr>
              <w:keepNext/>
              <w:keepLines/>
              <w:spacing w:after="0" w:line="240" w:lineRule="auto"/>
            </w:pPr>
            <w:r>
              <w:rPr>
                <w:sz w:val="18"/>
              </w:rPr>
              <w:t>6145</w:t>
            </w:r>
          </w:p>
        </w:tc>
        <w:tc>
          <w:tcPr>
            <w:tcW w:w="3180" w:type="dxa"/>
            <w:tcMar>
              <w:top w:w="0" w:type="dxa"/>
              <w:bottom w:w="0" w:type="dxa"/>
            </w:tcMar>
            <w:vAlign w:val="center"/>
          </w:tcPr>
          <w:p w14:paraId="3526E7EF" w14:textId="77777777" w:rsidR="000149DF" w:rsidRDefault="00000000">
            <w:pPr>
              <w:keepNext/>
              <w:keepLines/>
              <w:spacing w:after="0" w:line="240" w:lineRule="auto"/>
            </w:pPr>
            <w:r>
              <w:rPr>
                <w:sz w:val="18"/>
              </w:rPr>
              <w:t>Porezi na korištenje dobara ili izvođenje aktivnosti</w:t>
            </w:r>
          </w:p>
        </w:tc>
        <w:tc>
          <w:tcPr>
            <w:tcW w:w="700" w:type="dxa"/>
            <w:tcMar>
              <w:top w:w="0" w:type="dxa"/>
              <w:bottom w:w="0" w:type="dxa"/>
            </w:tcMar>
            <w:vAlign w:val="center"/>
          </w:tcPr>
          <w:p w14:paraId="309C8794" w14:textId="77777777" w:rsidR="000149DF" w:rsidRDefault="00000000">
            <w:pPr>
              <w:keepNext/>
              <w:keepLines/>
              <w:spacing w:after="0" w:line="240" w:lineRule="auto"/>
            </w:pPr>
            <w:r>
              <w:rPr>
                <w:sz w:val="18"/>
              </w:rPr>
              <w:t>6145</w:t>
            </w:r>
          </w:p>
        </w:tc>
        <w:tc>
          <w:tcPr>
            <w:tcW w:w="1860" w:type="dxa"/>
            <w:tcMar>
              <w:top w:w="0" w:type="dxa"/>
              <w:bottom w:w="0" w:type="dxa"/>
            </w:tcMar>
            <w:vAlign w:val="center"/>
          </w:tcPr>
          <w:p w14:paraId="000A04BF" w14:textId="77777777" w:rsidR="000149DF" w:rsidRDefault="00000000">
            <w:pPr>
              <w:keepNext/>
              <w:keepLines/>
              <w:spacing w:after="0" w:line="240" w:lineRule="auto"/>
              <w:jc w:val="right"/>
            </w:pPr>
            <w:r>
              <w:rPr>
                <w:sz w:val="18"/>
              </w:rPr>
              <w:t>1.234.979,78</w:t>
            </w:r>
          </w:p>
        </w:tc>
        <w:tc>
          <w:tcPr>
            <w:tcW w:w="1860" w:type="dxa"/>
            <w:tcMar>
              <w:top w:w="0" w:type="dxa"/>
              <w:bottom w:w="0" w:type="dxa"/>
            </w:tcMar>
            <w:vAlign w:val="center"/>
          </w:tcPr>
          <w:p w14:paraId="1B64CDE9" w14:textId="77777777" w:rsidR="000149DF" w:rsidRDefault="00000000">
            <w:pPr>
              <w:keepNext/>
              <w:keepLines/>
              <w:spacing w:after="0" w:line="240" w:lineRule="auto"/>
              <w:jc w:val="right"/>
            </w:pPr>
            <w:r>
              <w:rPr>
                <w:sz w:val="18"/>
              </w:rPr>
              <w:t>1.372.035,34</w:t>
            </w:r>
          </w:p>
        </w:tc>
        <w:tc>
          <w:tcPr>
            <w:tcW w:w="700" w:type="dxa"/>
            <w:tcMar>
              <w:top w:w="0" w:type="dxa"/>
              <w:bottom w:w="0" w:type="dxa"/>
            </w:tcMar>
            <w:vAlign w:val="center"/>
          </w:tcPr>
          <w:p w14:paraId="053C11CE" w14:textId="77777777" w:rsidR="000149DF" w:rsidRDefault="00000000">
            <w:pPr>
              <w:keepNext/>
              <w:keepLines/>
              <w:spacing w:after="0" w:line="240" w:lineRule="auto"/>
              <w:jc w:val="right"/>
            </w:pPr>
            <w:r>
              <w:rPr>
                <w:sz w:val="18"/>
              </w:rPr>
              <w:t>111,1</w:t>
            </w:r>
          </w:p>
        </w:tc>
      </w:tr>
    </w:tbl>
    <w:p w14:paraId="16B96171" w14:textId="77777777" w:rsidR="000149DF" w:rsidRDefault="000149DF">
      <w:pPr>
        <w:spacing w:after="0"/>
      </w:pPr>
    </w:p>
    <w:p w14:paraId="60DBF0E9" w14:textId="77777777" w:rsidR="000149DF" w:rsidRDefault="00000000">
      <w:r>
        <w:t>Povećanje od 11.1% u odnosu na prošlu godinu odnosi se na povećanje uplata za porez na cestovna motorna vozila, a rezultat je povećanja broja registriranih vozila. U razdoblju siječanj-prosinca 2024 broj registriranih vozila je bio 20.113,00 , a u istom razdoblju 2025. godine 21.529,00.</w:t>
      </w:r>
    </w:p>
    <w:p w14:paraId="70B5F1B5" w14:textId="77777777" w:rsidR="000149DF" w:rsidRDefault="000149DF"/>
    <w:p w14:paraId="0F06AF82" w14:textId="77777777" w:rsidR="000149DF" w:rsidRDefault="00000000">
      <w:pPr>
        <w:keepNext/>
        <w:spacing w:line="240" w:lineRule="auto"/>
        <w:jc w:val="center"/>
      </w:pPr>
      <w:r>
        <w:rPr>
          <w:sz w:val="28"/>
        </w:rPr>
        <w:t>Bilješka 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F85B00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E87C05B"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8EB2A65"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0C6152C"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A270078"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549BA03"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871C454" w14:textId="77777777" w:rsidR="000149DF" w:rsidRDefault="00000000">
            <w:pPr>
              <w:keepNext/>
              <w:keepLines/>
              <w:spacing w:after="0" w:line="240" w:lineRule="auto"/>
              <w:jc w:val="center"/>
            </w:pPr>
            <w:r>
              <w:rPr>
                <w:b/>
                <w:sz w:val="18"/>
              </w:rPr>
              <w:t>Indeks (%)</w:t>
            </w:r>
          </w:p>
        </w:tc>
      </w:tr>
      <w:tr w:rsidR="000149DF" w14:paraId="1BAC1DE1" w14:textId="77777777">
        <w:tblPrEx>
          <w:tblCellMar>
            <w:top w:w="0" w:type="dxa"/>
            <w:bottom w:w="0" w:type="dxa"/>
          </w:tblCellMar>
        </w:tblPrEx>
        <w:trPr>
          <w:cantSplit/>
          <w:trHeight w:val="560"/>
        </w:trPr>
        <w:tc>
          <w:tcPr>
            <w:tcW w:w="700" w:type="dxa"/>
            <w:tcMar>
              <w:top w:w="0" w:type="dxa"/>
              <w:bottom w:w="0" w:type="dxa"/>
            </w:tcMar>
            <w:vAlign w:val="center"/>
          </w:tcPr>
          <w:p w14:paraId="56BF748E" w14:textId="77777777" w:rsidR="000149DF" w:rsidRDefault="00000000">
            <w:pPr>
              <w:keepNext/>
              <w:keepLines/>
              <w:spacing w:after="0" w:line="240" w:lineRule="auto"/>
            </w:pPr>
            <w:r>
              <w:rPr>
                <w:sz w:val="18"/>
              </w:rPr>
              <w:t>63</w:t>
            </w:r>
          </w:p>
        </w:tc>
        <w:tc>
          <w:tcPr>
            <w:tcW w:w="3180" w:type="dxa"/>
            <w:tcMar>
              <w:top w:w="0" w:type="dxa"/>
              <w:bottom w:w="0" w:type="dxa"/>
            </w:tcMar>
            <w:vAlign w:val="center"/>
          </w:tcPr>
          <w:p w14:paraId="09E74E45" w14:textId="77777777" w:rsidR="000149DF" w:rsidRDefault="00000000">
            <w:pPr>
              <w:keepNext/>
              <w:keepLines/>
              <w:spacing w:after="0" w:line="240" w:lineRule="auto"/>
            </w:pPr>
            <w:r>
              <w:rPr>
                <w:sz w:val="18"/>
              </w:rPr>
              <w:t>Pomoći iz inozemstva i od subjekata unutar općeg proračuna (šifre 631+632+633+634+635+636+637+638+639)</w:t>
            </w:r>
          </w:p>
        </w:tc>
        <w:tc>
          <w:tcPr>
            <w:tcW w:w="700" w:type="dxa"/>
            <w:tcMar>
              <w:top w:w="0" w:type="dxa"/>
              <w:bottom w:w="0" w:type="dxa"/>
            </w:tcMar>
            <w:vAlign w:val="center"/>
          </w:tcPr>
          <w:p w14:paraId="09B26903" w14:textId="77777777" w:rsidR="000149DF" w:rsidRDefault="00000000">
            <w:pPr>
              <w:keepNext/>
              <w:keepLines/>
              <w:spacing w:after="0" w:line="240" w:lineRule="auto"/>
            </w:pPr>
            <w:r>
              <w:rPr>
                <w:sz w:val="18"/>
              </w:rPr>
              <w:t>63</w:t>
            </w:r>
          </w:p>
        </w:tc>
        <w:tc>
          <w:tcPr>
            <w:tcW w:w="1860" w:type="dxa"/>
            <w:tcMar>
              <w:top w:w="0" w:type="dxa"/>
              <w:bottom w:w="0" w:type="dxa"/>
            </w:tcMar>
            <w:vAlign w:val="center"/>
          </w:tcPr>
          <w:p w14:paraId="1C73578E" w14:textId="77777777" w:rsidR="000149DF" w:rsidRDefault="00000000">
            <w:pPr>
              <w:keepNext/>
              <w:keepLines/>
              <w:spacing w:after="0" w:line="240" w:lineRule="auto"/>
              <w:jc w:val="right"/>
            </w:pPr>
            <w:r>
              <w:rPr>
                <w:sz w:val="18"/>
              </w:rPr>
              <w:t>13.187.275,59</w:t>
            </w:r>
          </w:p>
        </w:tc>
        <w:tc>
          <w:tcPr>
            <w:tcW w:w="1860" w:type="dxa"/>
            <w:tcMar>
              <w:top w:w="0" w:type="dxa"/>
              <w:bottom w:w="0" w:type="dxa"/>
            </w:tcMar>
            <w:vAlign w:val="center"/>
          </w:tcPr>
          <w:p w14:paraId="0FF2B6A9" w14:textId="77777777" w:rsidR="000149DF" w:rsidRDefault="00000000">
            <w:pPr>
              <w:keepNext/>
              <w:keepLines/>
              <w:spacing w:after="0" w:line="240" w:lineRule="auto"/>
              <w:jc w:val="right"/>
            </w:pPr>
            <w:r>
              <w:rPr>
                <w:sz w:val="18"/>
              </w:rPr>
              <w:t>16.937.520,69</w:t>
            </w:r>
          </w:p>
        </w:tc>
        <w:tc>
          <w:tcPr>
            <w:tcW w:w="700" w:type="dxa"/>
            <w:tcMar>
              <w:top w:w="0" w:type="dxa"/>
              <w:bottom w:w="0" w:type="dxa"/>
            </w:tcMar>
            <w:vAlign w:val="center"/>
          </w:tcPr>
          <w:p w14:paraId="6D561D3A" w14:textId="77777777" w:rsidR="000149DF" w:rsidRDefault="00000000">
            <w:pPr>
              <w:keepNext/>
              <w:keepLines/>
              <w:spacing w:after="0" w:line="240" w:lineRule="auto"/>
              <w:jc w:val="right"/>
            </w:pPr>
            <w:r>
              <w:rPr>
                <w:sz w:val="18"/>
              </w:rPr>
              <w:t>128,4</w:t>
            </w:r>
          </w:p>
        </w:tc>
      </w:tr>
    </w:tbl>
    <w:p w14:paraId="3502F21E" w14:textId="77777777" w:rsidR="000149DF" w:rsidRDefault="000149DF">
      <w:pPr>
        <w:spacing w:after="0"/>
      </w:pPr>
    </w:p>
    <w:p w14:paraId="4D0F3746" w14:textId="77777777" w:rsidR="000149DF" w:rsidRDefault="00000000">
      <w:r>
        <w:t>Pomoći iz inozemstva i od subjekata unutar općeg proračuna  imaju indeks od 128,40% u odnosu na prethodno izvještajno razdoblje. Kategorija pomoći koja bilježi najveći rast su pomoći temeljem prijenos EU sredstava s indeksom od 439,1% i najvećim dijelom se odnose na uplatu za EU projekt Izgradnje i opremanja osnovne škole Cavtat.</w:t>
      </w:r>
    </w:p>
    <w:p w14:paraId="5BC8521E" w14:textId="77777777" w:rsidR="000149DF" w:rsidRDefault="000149DF"/>
    <w:p w14:paraId="2F033300" w14:textId="77777777" w:rsidR="000149DF" w:rsidRDefault="00000000">
      <w:pPr>
        <w:keepNext/>
        <w:spacing w:line="240" w:lineRule="auto"/>
        <w:jc w:val="center"/>
      </w:pPr>
      <w:r>
        <w:rPr>
          <w:sz w:val="28"/>
        </w:rPr>
        <w:t>Bilješka 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0B3EE3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8C84245"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5A31E8B"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DD78D4A"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1544512"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8EAA0AD"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C22DE38" w14:textId="77777777" w:rsidR="000149DF" w:rsidRDefault="00000000">
            <w:pPr>
              <w:keepNext/>
              <w:keepLines/>
              <w:spacing w:after="0" w:line="240" w:lineRule="auto"/>
              <w:jc w:val="center"/>
            </w:pPr>
            <w:r>
              <w:rPr>
                <w:b/>
                <w:sz w:val="18"/>
              </w:rPr>
              <w:t>Indeks (%)</w:t>
            </w:r>
          </w:p>
        </w:tc>
      </w:tr>
      <w:tr w:rsidR="000149DF" w14:paraId="04D0F56D" w14:textId="77777777">
        <w:tblPrEx>
          <w:tblCellMar>
            <w:top w:w="0" w:type="dxa"/>
            <w:bottom w:w="0" w:type="dxa"/>
          </w:tblCellMar>
        </w:tblPrEx>
        <w:trPr>
          <w:cantSplit/>
          <w:trHeight w:val="560"/>
        </w:trPr>
        <w:tc>
          <w:tcPr>
            <w:tcW w:w="700" w:type="dxa"/>
            <w:tcMar>
              <w:top w:w="0" w:type="dxa"/>
              <w:bottom w:w="0" w:type="dxa"/>
            </w:tcMar>
            <w:vAlign w:val="center"/>
          </w:tcPr>
          <w:p w14:paraId="41C6DF6B" w14:textId="77777777" w:rsidR="000149DF" w:rsidRDefault="00000000">
            <w:pPr>
              <w:keepNext/>
              <w:keepLines/>
              <w:spacing w:after="0" w:line="240" w:lineRule="auto"/>
            </w:pPr>
            <w:r>
              <w:rPr>
                <w:sz w:val="18"/>
              </w:rPr>
              <w:t>6311</w:t>
            </w:r>
          </w:p>
        </w:tc>
        <w:tc>
          <w:tcPr>
            <w:tcW w:w="3180" w:type="dxa"/>
            <w:tcMar>
              <w:top w:w="0" w:type="dxa"/>
              <w:bottom w:w="0" w:type="dxa"/>
            </w:tcMar>
            <w:vAlign w:val="center"/>
          </w:tcPr>
          <w:p w14:paraId="0575D621" w14:textId="77777777" w:rsidR="000149DF" w:rsidRDefault="00000000">
            <w:pPr>
              <w:keepNext/>
              <w:keepLines/>
              <w:spacing w:after="0" w:line="240" w:lineRule="auto"/>
            </w:pPr>
            <w:r>
              <w:rPr>
                <w:sz w:val="18"/>
              </w:rPr>
              <w:t>Tekuće pomoći od inozemnih vlada</w:t>
            </w:r>
          </w:p>
        </w:tc>
        <w:tc>
          <w:tcPr>
            <w:tcW w:w="700" w:type="dxa"/>
            <w:tcMar>
              <w:top w:w="0" w:type="dxa"/>
              <w:bottom w:w="0" w:type="dxa"/>
            </w:tcMar>
            <w:vAlign w:val="center"/>
          </w:tcPr>
          <w:p w14:paraId="14A463B1" w14:textId="77777777" w:rsidR="000149DF" w:rsidRDefault="00000000">
            <w:pPr>
              <w:keepNext/>
              <w:keepLines/>
              <w:spacing w:after="0" w:line="240" w:lineRule="auto"/>
            </w:pPr>
            <w:r>
              <w:rPr>
                <w:sz w:val="18"/>
              </w:rPr>
              <w:t>6311</w:t>
            </w:r>
          </w:p>
        </w:tc>
        <w:tc>
          <w:tcPr>
            <w:tcW w:w="1860" w:type="dxa"/>
            <w:tcMar>
              <w:top w:w="0" w:type="dxa"/>
              <w:bottom w:w="0" w:type="dxa"/>
            </w:tcMar>
            <w:vAlign w:val="center"/>
          </w:tcPr>
          <w:p w14:paraId="01913D85" w14:textId="77777777" w:rsidR="000149DF" w:rsidRDefault="00000000">
            <w:pPr>
              <w:keepNext/>
              <w:keepLines/>
              <w:spacing w:after="0" w:line="240" w:lineRule="auto"/>
              <w:jc w:val="right"/>
            </w:pPr>
            <w:r>
              <w:rPr>
                <w:sz w:val="18"/>
              </w:rPr>
              <w:t>66.162,58</w:t>
            </w:r>
          </w:p>
        </w:tc>
        <w:tc>
          <w:tcPr>
            <w:tcW w:w="1860" w:type="dxa"/>
            <w:tcMar>
              <w:top w:w="0" w:type="dxa"/>
              <w:bottom w:w="0" w:type="dxa"/>
            </w:tcMar>
            <w:vAlign w:val="center"/>
          </w:tcPr>
          <w:p w14:paraId="3BF1BDFB" w14:textId="77777777" w:rsidR="000149DF" w:rsidRDefault="00000000">
            <w:pPr>
              <w:keepNext/>
              <w:keepLines/>
              <w:spacing w:after="0" w:line="240" w:lineRule="auto"/>
              <w:jc w:val="right"/>
            </w:pPr>
            <w:r>
              <w:rPr>
                <w:sz w:val="18"/>
              </w:rPr>
              <w:t>147.259,28</w:t>
            </w:r>
          </w:p>
        </w:tc>
        <w:tc>
          <w:tcPr>
            <w:tcW w:w="700" w:type="dxa"/>
            <w:tcMar>
              <w:top w:w="0" w:type="dxa"/>
              <w:bottom w:w="0" w:type="dxa"/>
            </w:tcMar>
            <w:vAlign w:val="center"/>
          </w:tcPr>
          <w:p w14:paraId="44121589" w14:textId="77777777" w:rsidR="000149DF" w:rsidRDefault="00000000">
            <w:pPr>
              <w:keepNext/>
              <w:keepLines/>
              <w:spacing w:after="0" w:line="240" w:lineRule="auto"/>
              <w:jc w:val="right"/>
            </w:pPr>
            <w:r>
              <w:rPr>
                <w:sz w:val="18"/>
              </w:rPr>
              <w:t>222,6</w:t>
            </w:r>
          </w:p>
        </w:tc>
      </w:tr>
    </w:tbl>
    <w:p w14:paraId="5F64031A" w14:textId="77777777" w:rsidR="000149DF" w:rsidRDefault="000149DF">
      <w:pPr>
        <w:spacing w:after="0"/>
      </w:pPr>
    </w:p>
    <w:p w14:paraId="1AD7F89B" w14:textId="77777777" w:rsidR="000149DF" w:rsidRDefault="00000000">
      <w:r>
        <w:t>Uplata u iznosu od 79.981,87 €  odnosi se na  uplatu po ZNS-s br 2 i 3 za EU projekt GECO2.2 - borba protiv klimatskih promjena i uspostava  dobrovoljnog tržišta ugljika iz poljoprivredne djelatnosti. Uplata u iznosu od 67.277,41 € odnosi se na uplatu po završnom ZNS za EU projekt D-RURAL- gospodarski rast i poboljšanje kvalitete života u ruralnim područjima.</w:t>
      </w:r>
    </w:p>
    <w:p w14:paraId="6A6904F5" w14:textId="77777777" w:rsidR="000149DF" w:rsidRDefault="000149DF"/>
    <w:p w14:paraId="59F0231D" w14:textId="77777777" w:rsidR="000149DF" w:rsidRDefault="00000000">
      <w:pPr>
        <w:keepNext/>
        <w:spacing w:line="240" w:lineRule="auto"/>
        <w:jc w:val="center"/>
      </w:pPr>
      <w:r>
        <w:rPr>
          <w:sz w:val="28"/>
        </w:rPr>
        <w:t>Bilješka 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8345DC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C7FEFE4"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322EE4D"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E1CA5CF"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C11EBFD"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6972825"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FEBE81C" w14:textId="77777777" w:rsidR="000149DF" w:rsidRDefault="00000000">
            <w:pPr>
              <w:keepNext/>
              <w:keepLines/>
              <w:spacing w:after="0" w:line="240" w:lineRule="auto"/>
              <w:jc w:val="center"/>
            </w:pPr>
            <w:r>
              <w:rPr>
                <w:b/>
                <w:sz w:val="18"/>
              </w:rPr>
              <w:t>Indeks (%)</w:t>
            </w:r>
          </w:p>
        </w:tc>
      </w:tr>
      <w:tr w:rsidR="000149DF" w14:paraId="769DCEA7" w14:textId="77777777">
        <w:tblPrEx>
          <w:tblCellMar>
            <w:top w:w="0" w:type="dxa"/>
            <w:bottom w:w="0" w:type="dxa"/>
          </w:tblCellMar>
        </w:tblPrEx>
        <w:trPr>
          <w:cantSplit/>
          <w:trHeight w:val="560"/>
        </w:trPr>
        <w:tc>
          <w:tcPr>
            <w:tcW w:w="700" w:type="dxa"/>
            <w:tcMar>
              <w:top w:w="0" w:type="dxa"/>
              <w:bottom w:w="0" w:type="dxa"/>
            </w:tcMar>
            <w:vAlign w:val="center"/>
          </w:tcPr>
          <w:p w14:paraId="0BFD77F4" w14:textId="77777777" w:rsidR="000149DF" w:rsidRDefault="00000000">
            <w:pPr>
              <w:keepNext/>
              <w:keepLines/>
              <w:spacing w:after="0" w:line="240" w:lineRule="auto"/>
            </w:pPr>
            <w:r>
              <w:rPr>
                <w:sz w:val="18"/>
              </w:rPr>
              <w:t>6312</w:t>
            </w:r>
          </w:p>
        </w:tc>
        <w:tc>
          <w:tcPr>
            <w:tcW w:w="3180" w:type="dxa"/>
            <w:tcMar>
              <w:top w:w="0" w:type="dxa"/>
              <w:bottom w:w="0" w:type="dxa"/>
            </w:tcMar>
            <w:vAlign w:val="center"/>
          </w:tcPr>
          <w:p w14:paraId="15EF8005" w14:textId="77777777" w:rsidR="000149DF" w:rsidRDefault="00000000">
            <w:pPr>
              <w:keepNext/>
              <w:keepLines/>
              <w:spacing w:after="0" w:line="240" w:lineRule="auto"/>
            </w:pPr>
            <w:r>
              <w:rPr>
                <w:sz w:val="18"/>
              </w:rPr>
              <w:t>Kapitalne pomoći od inozemnih vlada</w:t>
            </w:r>
          </w:p>
        </w:tc>
        <w:tc>
          <w:tcPr>
            <w:tcW w:w="700" w:type="dxa"/>
            <w:tcMar>
              <w:top w:w="0" w:type="dxa"/>
              <w:bottom w:w="0" w:type="dxa"/>
            </w:tcMar>
            <w:vAlign w:val="center"/>
          </w:tcPr>
          <w:p w14:paraId="200EF205" w14:textId="77777777" w:rsidR="000149DF" w:rsidRDefault="00000000">
            <w:pPr>
              <w:keepNext/>
              <w:keepLines/>
              <w:spacing w:after="0" w:line="240" w:lineRule="auto"/>
            </w:pPr>
            <w:r>
              <w:rPr>
                <w:sz w:val="18"/>
              </w:rPr>
              <w:t>6312</w:t>
            </w:r>
          </w:p>
        </w:tc>
        <w:tc>
          <w:tcPr>
            <w:tcW w:w="1860" w:type="dxa"/>
            <w:tcMar>
              <w:top w:w="0" w:type="dxa"/>
              <w:bottom w:w="0" w:type="dxa"/>
            </w:tcMar>
            <w:vAlign w:val="center"/>
          </w:tcPr>
          <w:p w14:paraId="7867781D" w14:textId="77777777" w:rsidR="000149DF" w:rsidRDefault="00000000">
            <w:pPr>
              <w:keepNext/>
              <w:keepLines/>
              <w:spacing w:after="0" w:line="240" w:lineRule="auto"/>
              <w:jc w:val="right"/>
            </w:pPr>
            <w:r>
              <w:rPr>
                <w:sz w:val="18"/>
              </w:rPr>
              <w:t>689,90</w:t>
            </w:r>
          </w:p>
        </w:tc>
        <w:tc>
          <w:tcPr>
            <w:tcW w:w="1860" w:type="dxa"/>
            <w:tcMar>
              <w:top w:w="0" w:type="dxa"/>
              <w:bottom w:w="0" w:type="dxa"/>
            </w:tcMar>
            <w:vAlign w:val="center"/>
          </w:tcPr>
          <w:p w14:paraId="3477E99F" w14:textId="77777777" w:rsidR="000149DF" w:rsidRDefault="00000000">
            <w:pPr>
              <w:keepNext/>
              <w:keepLines/>
              <w:spacing w:after="0" w:line="240" w:lineRule="auto"/>
              <w:jc w:val="right"/>
            </w:pPr>
            <w:r>
              <w:rPr>
                <w:sz w:val="18"/>
              </w:rPr>
              <w:t>71.332,77</w:t>
            </w:r>
          </w:p>
        </w:tc>
        <w:tc>
          <w:tcPr>
            <w:tcW w:w="700" w:type="dxa"/>
            <w:tcMar>
              <w:top w:w="0" w:type="dxa"/>
              <w:bottom w:w="0" w:type="dxa"/>
            </w:tcMar>
            <w:vAlign w:val="center"/>
          </w:tcPr>
          <w:p w14:paraId="774A409D" w14:textId="77777777" w:rsidR="000149DF" w:rsidRDefault="00000000">
            <w:pPr>
              <w:keepNext/>
              <w:keepLines/>
              <w:spacing w:after="0" w:line="240" w:lineRule="auto"/>
              <w:jc w:val="right"/>
            </w:pPr>
            <w:r>
              <w:rPr>
                <w:sz w:val="18"/>
              </w:rPr>
              <w:t>&gt;&gt;100</w:t>
            </w:r>
          </w:p>
        </w:tc>
      </w:tr>
    </w:tbl>
    <w:p w14:paraId="1F0DD42E" w14:textId="77777777" w:rsidR="000149DF" w:rsidRDefault="000149DF">
      <w:pPr>
        <w:spacing w:after="0"/>
      </w:pPr>
    </w:p>
    <w:p w14:paraId="7091B7C2" w14:textId="77777777" w:rsidR="000149DF" w:rsidRDefault="00000000">
      <w:r>
        <w:t>Uplata u iznosu od 32.672,57 € po ZNS 1. odnosi se na EU projekt Handy – jačanje suradnje između tijela civilne zaštite uključenih u upravljanje hitnim situacijama u jadranskom području. Uplatu u iznosu od 38.660,20 € po ZNS 1. odnosi se na EU projektu CYROS -razvoj zajedničkih prekograničnih biciklističkih ruta i njihovo povezivanje s  intermodalnim prijevozom. </w:t>
      </w:r>
    </w:p>
    <w:p w14:paraId="21437F85" w14:textId="77777777" w:rsidR="000149DF" w:rsidRDefault="000149DF"/>
    <w:p w14:paraId="357FD67A" w14:textId="77777777" w:rsidR="000149DF" w:rsidRDefault="00000000">
      <w:pPr>
        <w:keepNext/>
        <w:spacing w:line="240" w:lineRule="auto"/>
        <w:jc w:val="center"/>
      </w:pPr>
      <w:r>
        <w:rPr>
          <w:sz w:val="28"/>
        </w:rPr>
        <w:lastRenderedPageBreak/>
        <w:t>Bilješka 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345FCAC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453D2E7"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ECE8D76"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5159B6A"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8F83083"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469E6EF"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DCD3465" w14:textId="77777777" w:rsidR="000149DF" w:rsidRDefault="00000000">
            <w:pPr>
              <w:keepNext/>
              <w:keepLines/>
              <w:spacing w:after="0" w:line="240" w:lineRule="auto"/>
              <w:jc w:val="center"/>
            </w:pPr>
            <w:r>
              <w:rPr>
                <w:b/>
                <w:sz w:val="18"/>
              </w:rPr>
              <w:t>Indeks (%)</w:t>
            </w:r>
          </w:p>
        </w:tc>
      </w:tr>
      <w:tr w:rsidR="000149DF" w14:paraId="3534B729" w14:textId="77777777">
        <w:tblPrEx>
          <w:tblCellMar>
            <w:top w:w="0" w:type="dxa"/>
            <w:bottom w:w="0" w:type="dxa"/>
          </w:tblCellMar>
        </w:tblPrEx>
        <w:trPr>
          <w:cantSplit/>
          <w:trHeight w:val="560"/>
        </w:trPr>
        <w:tc>
          <w:tcPr>
            <w:tcW w:w="700" w:type="dxa"/>
            <w:tcMar>
              <w:top w:w="0" w:type="dxa"/>
              <w:bottom w:w="0" w:type="dxa"/>
            </w:tcMar>
            <w:vAlign w:val="center"/>
          </w:tcPr>
          <w:p w14:paraId="59F3F895" w14:textId="77777777" w:rsidR="000149DF" w:rsidRDefault="00000000">
            <w:pPr>
              <w:keepNext/>
              <w:keepLines/>
              <w:spacing w:after="0" w:line="240" w:lineRule="auto"/>
            </w:pPr>
            <w:r>
              <w:rPr>
                <w:sz w:val="18"/>
              </w:rPr>
              <w:t>6321</w:t>
            </w:r>
          </w:p>
        </w:tc>
        <w:tc>
          <w:tcPr>
            <w:tcW w:w="3180" w:type="dxa"/>
            <w:tcMar>
              <w:top w:w="0" w:type="dxa"/>
              <w:bottom w:w="0" w:type="dxa"/>
            </w:tcMar>
            <w:vAlign w:val="center"/>
          </w:tcPr>
          <w:p w14:paraId="7F944B5C" w14:textId="77777777" w:rsidR="000149DF" w:rsidRDefault="00000000">
            <w:pPr>
              <w:keepNext/>
              <w:keepLines/>
              <w:spacing w:after="0" w:line="240" w:lineRule="auto"/>
            </w:pPr>
            <w:r>
              <w:rPr>
                <w:sz w:val="18"/>
              </w:rPr>
              <w:t>Tekuće pomoći od međunarodnih organizacija</w:t>
            </w:r>
          </w:p>
        </w:tc>
        <w:tc>
          <w:tcPr>
            <w:tcW w:w="700" w:type="dxa"/>
            <w:tcMar>
              <w:top w:w="0" w:type="dxa"/>
              <w:bottom w:w="0" w:type="dxa"/>
            </w:tcMar>
            <w:vAlign w:val="center"/>
          </w:tcPr>
          <w:p w14:paraId="771C0373" w14:textId="77777777" w:rsidR="000149DF" w:rsidRDefault="00000000">
            <w:pPr>
              <w:keepNext/>
              <w:keepLines/>
              <w:spacing w:after="0" w:line="240" w:lineRule="auto"/>
            </w:pPr>
            <w:r>
              <w:rPr>
                <w:sz w:val="18"/>
              </w:rPr>
              <w:t>6321</w:t>
            </w:r>
          </w:p>
        </w:tc>
        <w:tc>
          <w:tcPr>
            <w:tcW w:w="1860" w:type="dxa"/>
            <w:tcMar>
              <w:top w:w="0" w:type="dxa"/>
              <w:bottom w:w="0" w:type="dxa"/>
            </w:tcMar>
            <w:vAlign w:val="center"/>
          </w:tcPr>
          <w:p w14:paraId="08BD5CE0" w14:textId="77777777" w:rsidR="000149DF" w:rsidRDefault="00000000">
            <w:pPr>
              <w:keepNext/>
              <w:keepLines/>
              <w:spacing w:after="0" w:line="240" w:lineRule="auto"/>
              <w:jc w:val="right"/>
            </w:pPr>
            <w:r>
              <w:rPr>
                <w:sz w:val="18"/>
              </w:rPr>
              <w:t>32.918,03</w:t>
            </w:r>
          </w:p>
        </w:tc>
        <w:tc>
          <w:tcPr>
            <w:tcW w:w="1860" w:type="dxa"/>
            <w:tcMar>
              <w:top w:w="0" w:type="dxa"/>
              <w:bottom w:w="0" w:type="dxa"/>
            </w:tcMar>
            <w:vAlign w:val="center"/>
          </w:tcPr>
          <w:p w14:paraId="63A0A7DC" w14:textId="77777777" w:rsidR="000149DF" w:rsidRDefault="00000000">
            <w:pPr>
              <w:keepNext/>
              <w:keepLines/>
              <w:spacing w:after="0" w:line="240" w:lineRule="auto"/>
              <w:jc w:val="right"/>
            </w:pPr>
            <w:r>
              <w:rPr>
                <w:sz w:val="18"/>
              </w:rPr>
              <w:t>173.106,60</w:t>
            </w:r>
          </w:p>
        </w:tc>
        <w:tc>
          <w:tcPr>
            <w:tcW w:w="700" w:type="dxa"/>
            <w:tcMar>
              <w:top w:w="0" w:type="dxa"/>
              <w:bottom w:w="0" w:type="dxa"/>
            </w:tcMar>
            <w:vAlign w:val="center"/>
          </w:tcPr>
          <w:p w14:paraId="25547C63" w14:textId="77777777" w:rsidR="000149DF" w:rsidRDefault="00000000">
            <w:pPr>
              <w:keepNext/>
              <w:keepLines/>
              <w:spacing w:after="0" w:line="240" w:lineRule="auto"/>
              <w:jc w:val="right"/>
            </w:pPr>
            <w:r>
              <w:rPr>
                <w:sz w:val="18"/>
              </w:rPr>
              <w:t>525,9</w:t>
            </w:r>
          </w:p>
        </w:tc>
      </w:tr>
    </w:tbl>
    <w:p w14:paraId="42636787" w14:textId="77777777" w:rsidR="000149DF" w:rsidRDefault="000149DF">
      <w:pPr>
        <w:spacing w:after="0"/>
      </w:pPr>
    </w:p>
    <w:p w14:paraId="7A877264" w14:textId="77777777" w:rsidR="000149DF" w:rsidRDefault="00000000">
      <w:r>
        <w:t>Uplata u iznosu od 158.930,77 € odnosi se na refundaciju sredstava za predfinanciranje EU projekata  - Javna ustanova za upravljanje zaštićenim dijelovima prirode, a iznos od 14.175,83 €, odnosi se na refundaciju sredstava za predfinanciranje EU projekta - Javna ustanova Dunea.</w:t>
      </w:r>
    </w:p>
    <w:p w14:paraId="393C6A0E" w14:textId="77777777" w:rsidR="000149DF" w:rsidRDefault="000149DF"/>
    <w:p w14:paraId="5DBD5B26" w14:textId="77777777" w:rsidR="000149DF" w:rsidRDefault="00000000">
      <w:pPr>
        <w:keepNext/>
        <w:spacing w:line="240" w:lineRule="auto"/>
        <w:jc w:val="center"/>
      </w:pPr>
      <w:r>
        <w:rPr>
          <w:sz w:val="28"/>
        </w:rPr>
        <w:t>Bilješka 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FFF8A4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45EA642"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E1D0990"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B04E67A"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60AB840"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44B589A"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992CE41" w14:textId="77777777" w:rsidR="000149DF" w:rsidRDefault="00000000">
            <w:pPr>
              <w:keepNext/>
              <w:keepLines/>
              <w:spacing w:after="0" w:line="240" w:lineRule="auto"/>
              <w:jc w:val="center"/>
            </w:pPr>
            <w:r>
              <w:rPr>
                <w:b/>
                <w:sz w:val="18"/>
              </w:rPr>
              <w:t>Indeks (%)</w:t>
            </w:r>
          </w:p>
        </w:tc>
      </w:tr>
      <w:tr w:rsidR="000149DF" w14:paraId="2D3E0378" w14:textId="77777777">
        <w:tblPrEx>
          <w:tblCellMar>
            <w:top w:w="0" w:type="dxa"/>
            <w:bottom w:w="0" w:type="dxa"/>
          </w:tblCellMar>
        </w:tblPrEx>
        <w:trPr>
          <w:cantSplit/>
          <w:trHeight w:val="560"/>
        </w:trPr>
        <w:tc>
          <w:tcPr>
            <w:tcW w:w="700" w:type="dxa"/>
            <w:tcMar>
              <w:top w:w="0" w:type="dxa"/>
              <w:bottom w:w="0" w:type="dxa"/>
            </w:tcMar>
            <w:vAlign w:val="center"/>
          </w:tcPr>
          <w:p w14:paraId="59697B05" w14:textId="77777777" w:rsidR="000149DF" w:rsidRDefault="00000000">
            <w:pPr>
              <w:keepNext/>
              <w:keepLines/>
              <w:spacing w:after="0" w:line="240" w:lineRule="auto"/>
            </w:pPr>
            <w:r>
              <w:rPr>
                <w:sz w:val="18"/>
              </w:rPr>
              <w:t>6324</w:t>
            </w:r>
          </w:p>
        </w:tc>
        <w:tc>
          <w:tcPr>
            <w:tcW w:w="3180" w:type="dxa"/>
            <w:tcMar>
              <w:top w:w="0" w:type="dxa"/>
              <w:bottom w:w="0" w:type="dxa"/>
            </w:tcMar>
            <w:vAlign w:val="center"/>
          </w:tcPr>
          <w:p w14:paraId="3EA160DC" w14:textId="77777777" w:rsidR="000149DF" w:rsidRDefault="00000000">
            <w:pPr>
              <w:keepNext/>
              <w:keepLines/>
              <w:spacing w:after="0" w:line="240" w:lineRule="auto"/>
            </w:pPr>
            <w:r>
              <w:rPr>
                <w:sz w:val="18"/>
              </w:rPr>
              <w:t>Kapitalne pomoći od institucija i tijela EU</w:t>
            </w:r>
          </w:p>
        </w:tc>
        <w:tc>
          <w:tcPr>
            <w:tcW w:w="700" w:type="dxa"/>
            <w:tcMar>
              <w:top w:w="0" w:type="dxa"/>
              <w:bottom w:w="0" w:type="dxa"/>
            </w:tcMar>
            <w:vAlign w:val="center"/>
          </w:tcPr>
          <w:p w14:paraId="500D9CEE" w14:textId="77777777" w:rsidR="000149DF" w:rsidRDefault="00000000">
            <w:pPr>
              <w:keepNext/>
              <w:keepLines/>
              <w:spacing w:after="0" w:line="240" w:lineRule="auto"/>
            </w:pPr>
            <w:r>
              <w:rPr>
                <w:sz w:val="18"/>
              </w:rPr>
              <w:t>6324</w:t>
            </w:r>
          </w:p>
        </w:tc>
        <w:tc>
          <w:tcPr>
            <w:tcW w:w="1860" w:type="dxa"/>
            <w:tcMar>
              <w:top w:w="0" w:type="dxa"/>
              <w:bottom w:w="0" w:type="dxa"/>
            </w:tcMar>
            <w:vAlign w:val="center"/>
          </w:tcPr>
          <w:p w14:paraId="354A3B77" w14:textId="77777777" w:rsidR="000149DF" w:rsidRDefault="00000000">
            <w:pPr>
              <w:keepNext/>
              <w:keepLines/>
              <w:spacing w:after="0" w:line="240" w:lineRule="auto"/>
              <w:jc w:val="right"/>
            </w:pPr>
            <w:r>
              <w:rPr>
                <w:sz w:val="18"/>
              </w:rPr>
              <w:t>1.749.855,95</w:t>
            </w:r>
          </w:p>
        </w:tc>
        <w:tc>
          <w:tcPr>
            <w:tcW w:w="1860" w:type="dxa"/>
            <w:tcMar>
              <w:top w:w="0" w:type="dxa"/>
              <w:bottom w:w="0" w:type="dxa"/>
            </w:tcMar>
            <w:vAlign w:val="center"/>
          </w:tcPr>
          <w:p w14:paraId="7BD8185F" w14:textId="77777777" w:rsidR="000149DF" w:rsidRDefault="00000000">
            <w:pPr>
              <w:keepNext/>
              <w:keepLines/>
              <w:spacing w:after="0" w:line="240" w:lineRule="auto"/>
              <w:jc w:val="right"/>
            </w:pPr>
            <w:r>
              <w:rPr>
                <w:sz w:val="18"/>
              </w:rPr>
              <w:t>0,00</w:t>
            </w:r>
          </w:p>
        </w:tc>
        <w:tc>
          <w:tcPr>
            <w:tcW w:w="700" w:type="dxa"/>
            <w:tcMar>
              <w:top w:w="0" w:type="dxa"/>
              <w:bottom w:w="0" w:type="dxa"/>
            </w:tcMar>
            <w:vAlign w:val="center"/>
          </w:tcPr>
          <w:p w14:paraId="2C2BF40B" w14:textId="77777777" w:rsidR="000149DF" w:rsidRDefault="00000000">
            <w:pPr>
              <w:keepNext/>
              <w:keepLines/>
              <w:spacing w:after="0" w:line="240" w:lineRule="auto"/>
              <w:jc w:val="right"/>
            </w:pPr>
            <w:r>
              <w:rPr>
                <w:sz w:val="18"/>
              </w:rPr>
              <w:t>0</w:t>
            </w:r>
          </w:p>
        </w:tc>
      </w:tr>
    </w:tbl>
    <w:p w14:paraId="3F17D248" w14:textId="77777777" w:rsidR="000149DF" w:rsidRDefault="000149DF">
      <w:pPr>
        <w:spacing w:after="0"/>
      </w:pPr>
    </w:p>
    <w:p w14:paraId="0FEAFD22" w14:textId="77777777" w:rsidR="000149DF" w:rsidRDefault="00000000">
      <w:r>
        <w:t>Kapitalne pomoći od institucija i tijela EU u ovom razdoblju nisu ostvarene jer su u 2024. godini završili EU projekti po kojima su sredstva bila uplaćena. </w:t>
      </w:r>
    </w:p>
    <w:p w14:paraId="44FDC72F" w14:textId="77777777" w:rsidR="000149DF" w:rsidRDefault="000149DF"/>
    <w:p w14:paraId="56CF3B00" w14:textId="77777777" w:rsidR="000149DF" w:rsidRDefault="00000000">
      <w:pPr>
        <w:keepNext/>
        <w:spacing w:line="240" w:lineRule="auto"/>
        <w:jc w:val="center"/>
      </w:pPr>
      <w:r>
        <w:rPr>
          <w:sz w:val="28"/>
        </w:rPr>
        <w:t>Bilješka 10.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3CC84A3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717628A"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72C256C"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3A4592E"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2FE155A"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885D6CB"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18DECF6" w14:textId="77777777" w:rsidR="000149DF" w:rsidRDefault="00000000">
            <w:pPr>
              <w:keepNext/>
              <w:keepLines/>
              <w:spacing w:after="0" w:line="240" w:lineRule="auto"/>
              <w:jc w:val="center"/>
            </w:pPr>
            <w:r>
              <w:rPr>
                <w:b/>
                <w:sz w:val="18"/>
              </w:rPr>
              <w:t>Indeks (%)</w:t>
            </w:r>
          </w:p>
        </w:tc>
      </w:tr>
      <w:tr w:rsidR="000149DF" w14:paraId="32AF52DF" w14:textId="77777777">
        <w:tblPrEx>
          <w:tblCellMar>
            <w:top w:w="0" w:type="dxa"/>
            <w:bottom w:w="0" w:type="dxa"/>
          </w:tblCellMar>
        </w:tblPrEx>
        <w:trPr>
          <w:cantSplit/>
          <w:trHeight w:val="560"/>
        </w:trPr>
        <w:tc>
          <w:tcPr>
            <w:tcW w:w="700" w:type="dxa"/>
            <w:tcMar>
              <w:top w:w="0" w:type="dxa"/>
              <w:bottom w:w="0" w:type="dxa"/>
            </w:tcMar>
            <w:vAlign w:val="center"/>
          </w:tcPr>
          <w:p w14:paraId="6AD430AA" w14:textId="77777777" w:rsidR="000149DF" w:rsidRDefault="00000000">
            <w:pPr>
              <w:keepNext/>
              <w:keepLines/>
              <w:spacing w:after="0" w:line="240" w:lineRule="auto"/>
            </w:pPr>
            <w:r>
              <w:rPr>
                <w:sz w:val="18"/>
              </w:rPr>
              <w:t>6331</w:t>
            </w:r>
          </w:p>
        </w:tc>
        <w:tc>
          <w:tcPr>
            <w:tcW w:w="3180" w:type="dxa"/>
            <w:tcMar>
              <w:top w:w="0" w:type="dxa"/>
              <w:bottom w:w="0" w:type="dxa"/>
            </w:tcMar>
            <w:vAlign w:val="center"/>
          </w:tcPr>
          <w:p w14:paraId="695BEBC2" w14:textId="77777777" w:rsidR="000149DF" w:rsidRDefault="00000000">
            <w:pPr>
              <w:keepNext/>
              <w:keepLines/>
              <w:spacing w:after="0" w:line="240" w:lineRule="auto"/>
            </w:pPr>
            <w:r>
              <w:rPr>
                <w:sz w:val="18"/>
              </w:rPr>
              <w:t>Tekuće pomoći proračunu i izvanproračunskim korisnicima iz drugih proračuna</w:t>
            </w:r>
          </w:p>
        </w:tc>
        <w:tc>
          <w:tcPr>
            <w:tcW w:w="700" w:type="dxa"/>
            <w:tcMar>
              <w:top w:w="0" w:type="dxa"/>
              <w:bottom w:w="0" w:type="dxa"/>
            </w:tcMar>
            <w:vAlign w:val="center"/>
          </w:tcPr>
          <w:p w14:paraId="06705104" w14:textId="77777777" w:rsidR="000149DF" w:rsidRDefault="00000000">
            <w:pPr>
              <w:keepNext/>
              <w:keepLines/>
              <w:spacing w:after="0" w:line="240" w:lineRule="auto"/>
            </w:pPr>
            <w:r>
              <w:rPr>
                <w:sz w:val="18"/>
              </w:rPr>
              <w:t>6331</w:t>
            </w:r>
          </w:p>
        </w:tc>
        <w:tc>
          <w:tcPr>
            <w:tcW w:w="1860" w:type="dxa"/>
            <w:tcMar>
              <w:top w:w="0" w:type="dxa"/>
              <w:bottom w:w="0" w:type="dxa"/>
            </w:tcMar>
            <w:vAlign w:val="center"/>
          </w:tcPr>
          <w:p w14:paraId="1DE0AA45" w14:textId="77777777" w:rsidR="000149DF" w:rsidRDefault="00000000">
            <w:pPr>
              <w:keepNext/>
              <w:keepLines/>
              <w:spacing w:after="0" w:line="240" w:lineRule="auto"/>
              <w:jc w:val="right"/>
            </w:pPr>
            <w:r>
              <w:rPr>
                <w:sz w:val="18"/>
              </w:rPr>
              <w:t>4.027.836,96</w:t>
            </w:r>
          </w:p>
        </w:tc>
        <w:tc>
          <w:tcPr>
            <w:tcW w:w="1860" w:type="dxa"/>
            <w:tcMar>
              <w:top w:w="0" w:type="dxa"/>
              <w:bottom w:w="0" w:type="dxa"/>
            </w:tcMar>
            <w:vAlign w:val="center"/>
          </w:tcPr>
          <w:p w14:paraId="4EF0EC29" w14:textId="77777777" w:rsidR="000149DF" w:rsidRDefault="00000000">
            <w:pPr>
              <w:keepNext/>
              <w:keepLines/>
              <w:spacing w:after="0" w:line="240" w:lineRule="auto"/>
              <w:jc w:val="right"/>
            </w:pPr>
            <w:r>
              <w:rPr>
                <w:sz w:val="18"/>
              </w:rPr>
              <w:t>4.687.450,47</w:t>
            </w:r>
          </w:p>
        </w:tc>
        <w:tc>
          <w:tcPr>
            <w:tcW w:w="700" w:type="dxa"/>
            <w:tcMar>
              <w:top w:w="0" w:type="dxa"/>
              <w:bottom w:w="0" w:type="dxa"/>
            </w:tcMar>
            <w:vAlign w:val="center"/>
          </w:tcPr>
          <w:p w14:paraId="0BA0CB99" w14:textId="77777777" w:rsidR="000149DF" w:rsidRDefault="00000000">
            <w:pPr>
              <w:keepNext/>
              <w:keepLines/>
              <w:spacing w:after="0" w:line="240" w:lineRule="auto"/>
              <w:jc w:val="right"/>
            </w:pPr>
            <w:r>
              <w:rPr>
                <w:sz w:val="18"/>
              </w:rPr>
              <w:t>116,4</w:t>
            </w:r>
          </w:p>
        </w:tc>
      </w:tr>
    </w:tbl>
    <w:p w14:paraId="0B0B07E3" w14:textId="77777777" w:rsidR="000149DF" w:rsidRDefault="000149DF">
      <w:pPr>
        <w:spacing w:after="0"/>
      </w:pPr>
    </w:p>
    <w:p w14:paraId="413A3EE5" w14:textId="77777777" w:rsidR="000149DF" w:rsidRDefault="00000000">
      <w:r>
        <w:t>Iznos od 4.687.450,47 € odnosi se na:  </w:t>
      </w:r>
    </w:p>
    <w:p w14:paraId="728BB034" w14:textId="77777777" w:rsidR="000149DF" w:rsidRDefault="00000000">
      <w:pPr>
        <w:pStyle w:val="ListParagraph"/>
        <w:numPr>
          <w:ilvl w:val="0"/>
          <w:numId w:val="1"/>
        </w:numPr>
      </w:pPr>
      <w:r>
        <w:t>Ministarstvo pravosuđa i uprave za obavljanje poslova državne uprave povjerenih županiji za razdoblje siječanj-prosinac 2025. godine 2.322.649,00 €,</w:t>
      </w:r>
    </w:p>
    <w:p w14:paraId="73F3B2FF" w14:textId="77777777" w:rsidR="000149DF" w:rsidRDefault="00000000">
      <w:pPr>
        <w:pStyle w:val="ListParagraph"/>
        <w:numPr>
          <w:ilvl w:val="0"/>
          <w:numId w:val="1"/>
        </w:numPr>
      </w:pPr>
      <w:r>
        <w:t>Ministarstvo hrvatskih branitelja - refundacije troškova ukopa hrvatskih branitelja u iznosu od  76.178,18 €,</w:t>
      </w:r>
    </w:p>
    <w:p w14:paraId="6726E76E" w14:textId="77777777" w:rsidR="000149DF" w:rsidRDefault="00000000">
      <w:pPr>
        <w:pStyle w:val="ListParagraph"/>
        <w:numPr>
          <w:ilvl w:val="0"/>
          <w:numId w:val="1"/>
        </w:numPr>
      </w:pPr>
      <w:r>
        <w:t>Ministarstvo turizma i sporta – sufinanciranje dodatnih timova medicinske pomoći u 2025. godini u iznosu od 41.496,00 €</w:t>
      </w:r>
    </w:p>
    <w:p w14:paraId="5A895E78" w14:textId="77777777" w:rsidR="000149DF" w:rsidRDefault="00000000">
      <w:pPr>
        <w:pStyle w:val="ListParagraph"/>
        <w:numPr>
          <w:ilvl w:val="0"/>
          <w:numId w:val="1"/>
        </w:numPr>
      </w:pPr>
      <w:r>
        <w:t>Ministarstvo znanosti i obrazovanja sufinanciralo je troškove prijevoza učenika srednjih škola s iznosom od 781.479,42 €,</w:t>
      </w:r>
    </w:p>
    <w:p w14:paraId="62FA16EE" w14:textId="77777777" w:rsidR="000149DF" w:rsidRDefault="00000000">
      <w:pPr>
        <w:pStyle w:val="ListParagraph"/>
        <w:numPr>
          <w:ilvl w:val="0"/>
          <w:numId w:val="1"/>
        </w:numPr>
      </w:pPr>
      <w:r>
        <w:t>Ministarstvo rada i mirovinskog sustava – uplata za higijenske potrepštine u iznosu od 472,50 € za školu koja nije proračunski korisnik,</w:t>
      </w:r>
    </w:p>
    <w:p w14:paraId="2F4E9389" w14:textId="77777777" w:rsidR="000149DF" w:rsidRDefault="00000000">
      <w:pPr>
        <w:pStyle w:val="ListParagraph"/>
        <w:numPr>
          <w:ilvl w:val="0"/>
          <w:numId w:val="1"/>
        </w:numPr>
      </w:pPr>
      <w:r>
        <w:t>Ministarstvo mora, prometa i infrastrukture doznačilo je sredstva u iznosu od 1.030.436,93 € za sufinanciranje otočnog prijevoza</w:t>
      </w:r>
    </w:p>
    <w:p w14:paraId="747EB7E6" w14:textId="77777777" w:rsidR="000149DF" w:rsidRDefault="00000000">
      <w:pPr>
        <w:pStyle w:val="ListParagraph"/>
        <w:numPr>
          <w:ilvl w:val="0"/>
          <w:numId w:val="1"/>
        </w:numPr>
      </w:pPr>
      <w:r>
        <w:t>Refundacija sredstava za predfinanciranje projekta u iznosu od 314.028,27 – JU za upravljanje zaštićenim dijelovima prirode,</w:t>
      </w:r>
    </w:p>
    <w:p w14:paraId="3C61D72F" w14:textId="77777777" w:rsidR="000149DF" w:rsidRDefault="00000000">
      <w:pPr>
        <w:pStyle w:val="ListParagraph"/>
        <w:numPr>
          <w:ilvl w:val="0"/>
          <w:numId w:val="1"/>
        </w:numPr>
      </w:pPr>
      <w:r>
        <w:lastRenderedPageBreak/>
        <w:t>Iznos od 61.052,40 € odnosi se na uplatu za sufinanciranje troškova plovila za djelovanje kod onečišćenja mora</w:t>
      </w:r>
    </w:p>
    <w:p w14:paraId="1088FDD2" w14:textId="77777777" w:rsidR="000149DF" w:rsidRDefault="00000000">
      <w:pPr>
        <w:pStyle w:val="ListParagraph"/>
        <w:numPr>
          <w:ilvl w:val="0"/>
          <w:numId w:val="1"/>
        </w:numPr>
      </w:pPr>
      <w:r>
        <w:t>Iznos od 2.880,17 € odnosi se na uplatu iz Državnog proračuna po ZNS br.1 za EU projekt Cyros razvoj zajedničkih prekograničnih biciklističkih ruta i njihovo povezivanje s  intermodalnim prijevozom</w:t>
      </w:r>
    </w:p>
    <w:p w14:paraId="727E094C" w14:textId="77777777" w:rsidR="000149DF" w:rsidRDefault="00000000">
      <w:pPr>
        <w:pStyle w:val="ListParagraph"/>
        <w:numPr>
          <w:ilvl w:val="0"/>
          <w:numId w:val="1"/>
        </w:numPr>
      </w:pPr>
      <w:r>
        <w:t>Iznos od 1.878,36 € odnosi se na uplatu iz Državnog proračuna po ZNS br.1 za EU projekt GECO 2.2. - borba protiv klimatskih promjena i uspostava  dobrovoljnog tržišta ugljika iz poljoprivredne djelatnosti</w:t>
      </w:r>
    </w:p>
    <w:p w14:paraId="6837A8A9" w14:textId="77777777" w:rsidR="000149DF" w:rsidRDefault="00000000">
      <w:pPr>
        <w:pStyle w:val="ListParagraph"/>
        <w:numPr>
          <w:ilvl w:val="0"/>
          <w:numId w:val="1"/>
        </w:numPr>
      </w:pPr>
      <w:r>
        <w:t>Iznos od 50.000,00 € odnosi se na uplatu MRRFEU za rekonstrukciju područne škole Prud</w:t>
      </w:r>
    </w:p>
    <w:p w14:paraId="3A4E4592" w14:textId="77777777" w:rsidR="000149DF" w:rsidRDefault="00000000">
      <w:pPr>
        <w:pStyle w:val="ListParagraph"/>
        <w:numPr>
          <w:ilvl w:val="0"/>
          <w:numId w:val="1"/>
        </w:numPr>
      </w:pPr>
      <w:r>
        <w:t>Iznos od 2.808,00 € Odnosi se na uplatu Agencije za plaćanje u poljoprivredi za Školski medni dan</w:t>
      </w:r>
    </w:p>
    <w:p w14:paraId="67CFB446" w14:textId="77777777" w:rsidR="000149DF" w:rsidRDefault="00000000">
      <w:pPr>
        <w:pStyle w:val="ListParagraph"/>
        <w:numPr>
          <w:ilvl w:val="0"/>
          <w:numId w:val="1"/>
        </w:numPr>
      </w:pPr>
      <w:r>
        <w:t>Iznos od 2.091,24 € odnosi se na uplatu za Eu projekt Školska shema voća povrća i mlijeka</w:t>
      </w:r>
    </w:p>
    <w:p w14:paraId="2643D126" w14:textId="77777777" w:rsidR="000149DF" w:rsidRDefault="000149DF"/>
    <w:p w14:paraId="12BB71FA" w14:textId="77777777" w:rsidR="000149DF" w:rsidRDefault="00000000">
      <w:pPr>
        <w:keepNext/>
        <w:spacing w:line="240" w:lineRule="auto"/>
        <w:jc w:val="center"/>
      </w:pPr>
      <w:r>
        <w:rPr>
          <w:sz w:val="28"/>
        </w:rPr>
        <w:t>Bilješka 11.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498DFC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C104F20"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8B84728"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08E9CC7"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A215090"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B1C8F17"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1AA129D" w14:textId="77777777" w:rsidR="000149DF" w:rsidRDefault="00000000">
            <w:pPr>
              <w:keepNext/>
              <w:keepLines/>
              <w:spacing w:after="0" w:line="240" w:lineRule="auto"/>
              <w:jc w:val="center"/>
            </w:pPr>
            <w:r>
              <w:rPr>
                <w:b/>
                <w:sz w:val="18"/>
              </w:rPr>
              <w:t>Indeks (%)</w:t>
            </w:r>
          </w:p>
        </w:tc>
      </w:tr>
      <w:tr w:rsidR="000149DF" w14:paraId="242D0334" w14:textId="77777777">
        <w:tblPrEx>
          <w:tblCellMar>
            <w:top w:w="0" w:type="dxa"/>
            <w:bottom w:w="0" w:type="dxa"/>
          </w:tblCellMar>
        </w:tblPrEx>
        <w:trPr>
          <w:cantSplit/>
          <w:trHeight w:val="560"/>
        </w:trPr>
        <w:tc>
          <w:tcPr>
            <w:tcW w:w="700" w:type="dxa"/>
            <w:tcMar>
              <w:top w:w="0" w:type="dxa"/>
              <w:bottom w:w="0" w:type="dxa"/>
            </w:tcMar>
            <w:vAlign w:val="center"/>
          </w:tcPr>
          <w:p w14:paraId="57CDF830" w14:textId="77777777" w:rsidR="000149DF" w:rsidRDefault="00000000">
            <w:pPr>
              <w:keepNext/>
              <w:keepLines/>
              <w:spacing w:after="0" w:line="240" w:lineRule="auto"/>
            </w:pPr>
            <w:r>
              <w:rPr>
                <w:sz w:val="18"/>
              </w:rPr>
              <w:t>6332</w:t>
            </w:r>
          </w:p>
        </w:tc>
        <w:tc>
          <w:tcPr>
            <w:tcW w:w="3180" w:type="dxa"/>
            <w:tcMar>
              <w:top w:w="0" w:type="dxa"/>
              <w:bottom w:w="0" w:type="dxa"/>
            </w:tcMar>
            <w:vAlign w:val="center"/>
          </w:tcPr>
          <w:p w14:paraId="13B71EEF" w14:textId="77777777" w:rsidR="000149DF" w:rsidRDefault="00000000">
            <w:pPr>
              <w:keepNext/>
              <w:keepLines/>
              <w:spacing w:after="0" w:line="240" w:lineRule="auto"/>
            </w:pPr>
            <w:r>
              <w:rPr>
                <w:sz w:val="18"/>
              </w:rPr>
              <w:t>Kapitalne pomoći proračunu i izvanproračunskim korisnicima iz drugih proračuna</w:t>
            </w:r>
          </w:p>
        </w:tc>
        <w:tc>
          <w:tcPr>
            <w:tcW w:w="700" w:type="dxa"/>
            <w:tcMar>
              <w:top w:w="0" w:type="dxa"/>
              <w:bottom w:w="0" w:type="dxa"/>
            </w:tcMar>
            <w:vAlign w:val="center"/>
          </w:tcPr>
          <w:p w14:paraId="732A73F7" w14:textId="77777777" w:rsidR="000149DF" w:rsidRDefault="00000000">
            <w:pPr>
              <w:keepNext/>
              <w:keepLines/>
              <w:spacing w:after="0" w:line="240" w:lineRule="auto"/>
            </w:pPr>
            <w:r>
              <w:rPr>
                <w:sz w:val="18"/>
              </w:rPr>
              <w:t>6332</w:t>
            </w:r>
          </w:p>
        </w:tc>
        <w:tc>
          <w:tcPr>
            <w:tcW w:w="1860" w:type="dxa"/>
            <w:tcMar>
              <w:top w:w="0" w:type="dxa"/>
              <w:bottom w:w="0" w:type="dxa"/>
            </w:tcMar>
            <w:vAlign w:val="center"/>
          </w:tcPr>
          <w:p w14:paraId="3EAFACF6" w14:textId="77777777" w:rsidR="000149DF" w:rsidRDefault="00000000">
            <w:pPr>
              <w:keepNext/>
              <w:keepLines/>
              <w:spacing w:after="0" w:line="240" w:lineRule="auto"/>
              <w:jc w:val="right"/>
            </w:pPr>
            <w:r>
              <w:rPr>
                <w:sz w:val="18"/>
              </w:rPr>
              <w:t>691.498,58</w:t>
            </w:r>
          </w:p>
        </w:tc>
        <w:tc>
          <w:tcPr>
            <w:tcW w:w="1860" w:type="dxa"/>
            <w:tcMar>
              <w:top w:w="0" w:type="dxa"/>
              <w:bottom w:w="0" w:type="dxa"/>
            </w:tcMar>
            <w:vAlign w:val="center"/>
          </w:tcPr>
          <w:p w14:paraId="748B384C" w14:textId="77777777" w:rsidR="000149DF" w:rsidRDefault="00000000">
            <w:pPr>
              <w:keepNext/>
              <w:keepLines/>
              <w:spacing w:after="0" w:line="240" w:lineRule="auto"/>
              <w:jc w:val="right"/>
            </w:pPr>
            <w:r>
              <w:rPr>
                <w:sz w:val="18"/>
              </w:rPr>
              <w:t>303.199,86</w:t>
            </w:r>
          </w:p>
        </w:tc>
        <w:tc>
          <w:tcPr>
            <w:tcW w:w="700" w:type="dxa"/>
            <w:tcMar>
              <w:top w:w="0" w:type="dxa"/>
              <w:bottom w:w="0" w:type="dxa"/>
            </w:tcMar>
            <w:vAlign w:val="center"/>
          </w:tcPr>
          <w:p w14:paraId="1BFBC122" w14:textId="77777777" w:rsidR="000149DF" w:rsidRDefault="00000000">
            <w:pPr>
              <w:keepNext/>
              <w:keepLines/>
              <w:spacing w:after="0" w:line="240" w:lineRule="auto"/>
              <w:jc w:val="right"/>
            </w:pPr>
            <w:r>
              <w:rPr>
                <w:sz w:val="18"/>
              </w:rPr>
              <w:t>43,8</w:t>
            </w:r>
          </w:p>
        </w:tc>
      </w:tr>
    </w:tbl>
    <w:p w14:paraId="6DE0B12A" w14:textId="77777777" w:rsidR="000149DF" w:rsidRDefault="000149DF">
      <w:pPr>
        <w:spacing w:after="0"/>
      </w:pPr>
    </w:p>
    <w:p w14:paraId="5FF978D7" w14:textId="77777777" w:rsidR="000149DF" w:rsidRDefault="00000000">
      <w:r>
        <w:t>Iznos od 303.199,86 € odnosi se na </w:t>
      </w:r>
    </w:p>
    <w:p w14:paraId="009DAF32" w14:textId="77777777" w:rsidR="000149DF" w:rsidRDefault="00000000">
      <w:pPr>
        <w:pStyle w:val="ListParagraph"/>
        <w:numPr>
          <w:ilvl w:val="0"/>
          <w:numId w:val="1"/>
        </w:numPr>
      </w:pPr>
      <w:r>
        <w:t>Kapitalna pomoć iz državnog proračuna u iznosu od 79.298,58 €, a odnosi se na Sporazumu o realizaciji infrastrukturne komponente 2.1. i postupcima javne nabave roba i usluga te ustupanju javnih radova u sklopu Projekta „Hrvatska: Ususret održivom, pravednom i učinkovitom obrazovanju“ iz Zajma Svjetske banke br. 9303-HR i Ugovoru o izvođenju radova na prilagodbi i uređenju prostora OŠ Blato za cjelodnevni boravak učenika u školi,</w:t>
      </w:r>
    </w:p>
    <w:p w14:paraId="3C56B189" w14:textId="77777777" w:rsidR="000149DF" w:rsidRDefault="00000000">
      <w:pPr>
        <w:pStyle w:val="ListParagraph"/>
        <w:numPr>
          <w:ilvl w:val="0"/>
          <w:numId w:val="1"/>
        </w:numPr>
      </w:pPr>
      <w:r>
        <w:t>Kapitalnu pomoć iz MRRFEU za rekonstrukciju SŠ Fra. Andrije Kačića Miošića u iznosu 52.000,00 €</w:t>
      </w:r>
    </w:p>
    <w:p w14:paraId="64E59A3A" w14:textId="77777777" w:rsidR="000149DF" w:rsidRDefault="00000000">
      <w:pPr>
        <w:pStyle w:val="ListParagraph"/>
        <w:numPr>
          <w:ilvl w:val="0"/>
          <w:numId w:val="1"/>
        </w:numPr>
      </w:pPr>
      <w:r>
        <w:t>Kapitalnu pomoć od MRRFEU za Depo lijekova Mljet u iznosu od 96.000,00 €,</w:t>
      </w:r>
    </w:p>
    <w:p w14:paraId="575A96FC" w14:textId="77777777" w:rsidR="000149DF" w:rsidRDefault="00000000">
      <w:pPr>
        <w:pStyle w:val="ListParagraph"/>
        <w:numPr>
          <w:ilvl w:val="0"/>
          <w:numId w:val="1"/>
        </w:numPr>
      </w:pPr>
      <w:r>
        <w:t>Kapitalnu pomoć od MRRFEU za Društveni dom u Visočanima u iznosu od 50.015,69 €,</w:t>
      </w:r>
    </w:p>
    <w:p w14:paraId="495F1B50" w14:textId="77777777" w:rsidR="000149DF" w:rsidRDefault="00000000">
      <w:pPr>
        <w:pStyle w:val="ListParagraph"/>
        <w:numPr>
          <w:ilvl w:val="0"/>
          <w:numId w:val="1"/>
        </w:numPr>
      </w:pPr>
      <w:r>
        <w:t>Iznos od 319,83 € odnosi se na uplatu iz Državnog proračuna po ZNS br.1 za EU projekt Cyros razvoj zajedničkih prekograničnih biciklističkih ruta i njihovo povezivanje s  intermodalnim prijevozom</w:t>
      </w:r>
      <w:r>
        <w:br/>
        <w:t>Iznos od 973,50 € odnosi se na uplatu iz Državnog proračuna po ZNS br.1 za EU projekt GECO 2.2. - borba protiv klimatskih promjena i uspostava  dobrovoljnog tržišta ugljika iz poljoprivredne djelatnosti</w:t>
      </w:r>
    </w:p>
    <w:p w14:paraId="60A796C4" w14:textId="77777777" w:rsidR="000149DF" w:rsidRDefault="00000000">
      <w:pPr>
        <w:pStyle w:val="ListParagraph"/>
        <w:numPr>
          <w:ilvl w:val="0"/>
          <w:numId w:val="1"/>
        </w:numPr>
      </w:pPr>
      <w:r>
        <w:t>Kapitalna pomoć od Općine Primorje u iznosu od 24.592,26 € za ozelenjavanje javnih površina.</w:t>
      </w:r>
    </w:p>
    <w:p w14:paraId="184FBAB7" w14:textId="77777777" w:rsidR="000149DF" w:rsidRDefault="000149DF"/>
    <w:p w14:paraId="45BACC55" w14:textId="77777777" w:rsidR="000149DF" w:rsidRDefault="00000000">
      <w:pPr>
        <w:keepNext/>
        <w:spacing w:line="240" w:lineRule="auto"/>
        <w:jc w:val="center"/>
      </w:pPr>
      <w:r>
        <w:rPr>
          <w:sz w:val="28"/>
        </w:rPr>
        <w:lastRenderedPageBreak/>
        <w:t>Bilješka 12.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C3EE62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A3DA828"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A68C0C1"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FB764C2"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9A14C9A"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C049FE4"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876AFB1" w14:textId="77777777" w:rsidR="000149DF" w:rsidRDefault="00000000">
            <w:pPr>
              <w:keepNext/>
              <w:keepLines/>
              <w:spacing w:after="0" w:line="240" w:lineRule="auto"/>
              <w:jc w:val="center"/>
            </w:pPr>
            <w:r>
              <w:rPr>
                <w:b/>
                <w:sz w:val="18"/>
              </w:rPr>
              <w:t>Indeks (%)</w:t>
            </w:r>
          </w:p>
        </w:tc>
      </w:tr>
      <w:tr w:rsidR="000149DF" w14:paraId="11173372" w14:textId="77777777">
        <w:tblPrEx>
          <w:tblCellMar>
            <w:top w:w="0" w:type="dxa"/>
            <w:bottom w:w="0" w:type="dxa"/>
          </w:tblCellMar>
        </w:tblPrEx>
        <w:trPr>
          <w:cantSplit/>
          <w:trHeight w:val="560"/>
        </w:trPr>
        <w:tc>
          <w:tcPr>
            <w:tcW w:w="700" w:type="dxa"/>
            <w:tcMar>
              <w:top w:w="0" w:type="dxa"/>
              <w:bottom w:w="0" w:type="dxa"/>
            </w:tcMar>
            <w:vAlign w:val="center"/>
          </w:tcPr>
          <w:p w14:paraId="34113420" w14:textId="77777777" w:rsidR="000149DF" w:rsidRDefault="00000000">
            <w:pPr>
              <w:keepNext/>
              <w:keepLines/>
              <w:spacing w:after="0" w:line="240" w:lineRule="auto"/>
            </w:pPr>
            <w:r>
              <w:rPr>
                <w:sz w:val="18"/>
              </w:rPr>
              <w:t>6342</w:t>
            </w:r>
          </w:p>
        </w:tc>
        <w:tc>
          <w:tcPr>
            <w:tcW w:w="3180" w:type="dxa"/>
            <w:tcMar>
              <w:top w:w="0" w:type="dxa"/>
              <w:bottom w:w="0" w:type="dxa"/>
            </w:tcMar>
            <w:vAlign w:val="center"/>
          </w:tcPr>
          <w:p w14:paraId="1309790F" w14:textId="77777777" w:rsidR="000149DF" w:rsidRDefault="00000000">
            <w:pPr>
              <w:keepNext/>
              <w:keepLines/>
              <w:spacing w:after="0" w:line="240" w:lineRule="auto"/>
            </w:pPr>
            <w:r>
              <w:rPr>
                <w:sz w:val="18"/>
              </w:rPr>
              <w:t>Kapitalne pomoći od izvanproračunskih korisnika</w:t>
            </w:r>
          </w:p>
        </w:tc>
        <w:tc>
          <w:tcPr>
            <w:tcW w:w="700" w:type="dxa"/>
            <w:tcMar>
              <w:top w:w="0" w:type="dxa"/>
              <w:bottom w:w="0" w:type="dxa"/>
            </w:tcMar>
            <w:vAlign w:val="center"/>
          </w:tcPr>
          <w:p w14:paraId="6D75E839" w14:textId="77777777" w:rsidR="000149DF" w:rsidRDefault="00000000">
            <w:pPr>
              <w:keepNext/>
              <w:keepLines/>
              <w:spacing w:after="0" w:line="240" w:lineRule="auto"/>
            </w:pPr>
            <w:r>
              <w:rPr>
                <w:sz w:val="18"/>
              </w:rPr>
              <w:t>6342</w:t>
            </w:r>
          </w:p>
        </w:tc>
        <w:tc>
          <w:tcPr>
            <w:tcW w:w="1860" w:type="dxa"/>
            <w:tcMar>
              <w:top w:w="0" w:type="dxa"/>
              <w:bottom w:w="0" w:type="dxa"/>
            </w:tcMar>
            <w:vAlign w:val="center"/>
          </w:tcPr>
          <w:p w14:paraId="5F5AC040" w14:textId="77777777" w:rsidR="000149DF" w:rsidRDefault="00000000">
            <w:pPr>
              <w:keepNext/>
              <w:keepLines/>
              <w:spacing w:after="0" w:line="240" w:lineRule="auto"/>
              <w:jc w:val="right"/>
            </w:pPr>
            <w:r>
              <w:rPr>
                <w:sz w:val="18"/>
              </w:rPr>
              <w:t>381.606,60</w:t>
            </w:r>
          </w:p>
        </w:tc>
        <w:tc>
          <w:tcPr>
            <w:tcW w:w="1860" w:type="dxa"/>
            <w:tcMar>
              <w:top w:w="0" w:type="dxa"/>
              <w:bottom w:w="0" w:type="dxa"/>
            </w:tcMar>
            <w:vAlign w:val="center"/>
          </w:tcPr>
          <w:p w14:paraId="378E46AB" w14:textId="77777777" w:rsidR="000149DF" w:rsidRDefault="00000000">
            <w:pPr>
              <w:keepNext/>
              <w:keepLines/>
              <w:spacing w:after="0" w:line="240" w:lineRule="auto"/>
              <w:jc w:val="right"/>
            </w:pPr>
            <w:r>
              <w:rPr>
                <w:sz w:val="18"/>
              </w:rPr>
              <w:t>315.066,21</w:t>
            </w:r>
          </w:p>
        </w:tc>
        <w:tc>
          <w:tcPr>
            <w:tcW w:w="700" w:type="dxa"/>
            <w:tcMar>
              <w:top w:w="0" w:type="dxa"/>
              <w:bottom w:w="0" w:type="dxa"/>
            </w:tcMar>
            <w:vAlign w:val="center"/>
          </w:tcPr>
          <w:p w14:paraId="6839EBC8" w14:textId="77777777" w:rsidR="000149DF" w:rsidRDefault="00000000">
            <w:pPr>
              <w:keepNext/>
              <w:keepLines/>
              <w:spacing w:after="0" w:line="240" w:lineRule="auto"/>
              <w:jc w:val="right"/>
            </w:pPr>
            <w:r>
              <w:rPr>
                <w:sz w:val="18"/>
              </w:rPr>
              <w:t>82,6</w:t>
            </w:r>
          </w:p>
        </w:tc>
      </w:tr>
    </w:tbl>
    <w:p w14:paraId="421D6372" w14:textId="77777777" w:rsidR="000149DF" w:rsidRDefault="000149DF">
      <w:pPr>
        <w:spacing w:after="0"/>
      </w:pPr>
    </w:p>
    <w:p w14:paraId="7C7CEDBE" w14:textId="77777777" w:rsidR="000149DF" w:rsidRDefault="00000000">
      <w:r>
        <w:t>Kapitalne pomoći od izvanproračunskih korisnika ostvarene su u iznosu od 315.066,21 €. Iznos od 306.322,46 €  odnosi se na uplatu Fonda za zaštitu okoliša  i energetsku učinkovitost za sufinanciranje provedbe mjera prilagodbe klimatskim promjenama i projekata iz područja zaštite okoliša, a iznos od 8.743,75 € odnosi se na sufinanciranje dijela računa od strane Hrvatskih voda za projekte navodnjavanja u poljoprivredi.</w:t>
      </w:r>
    </w:p>
    <w:p w14:paraId="5FB9905A" w14:textId="77777777" w:rsidR="000149DF" w:rsidRDefault="000149DF"/>
    <w:p w14:paraId="6CE3B01F" w14:textId="77777777" w:rsidR="000149DF" w:rsidRDefault="00000000">
      <w:pPr>
        <w:keepNext/>
        <w:spacing w:line="240" w:lineRule="auto"/>
        <w:jc w:val="center"/>
      </w:pPr>
      <w:r>
        <w:rPr>
          <w:sz w:val="28"/>
        </w:rPr>
        <w:t>Bilješka 13.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111414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5E896E2"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6F16598"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5D35E0C"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8CBC681"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C8B1C06"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FBF1839" w14:textId="77777777" w:rsidR="000149DF" w:rsidRDefault="00000000">
            <w:pPr>
              <w:keepNext/>
              <w:keepLines/>
              <w:spacing w:after="0" w:line="240" w:lineRule="auto"/>
              <w:jc w:val="center"/>
            </w:pPr>
            <w:r>
              <w:rPr>
                <w:b/>
                <w:sz w:val="18"/>
              </w:rPr>
              <w:t>Indeks (%)</w:t>
            </w:r>
          </w:p>
        </w:tc>
      </w:tr>
      <w:tr w:rsidR="000149DF" w14:paraId="4DCC2904" w14:textId="77777777">
        <w:tblPrEx>
          <w:tblCellMar>
            <w:top w:w="0" w:type="dxa"/>
            <w:bottom w:w="0" w:type="dxa"/>
          </w:tblCellMar>
        </w:tblPrEx>
        <w:trPr>
          <w:cantSplit/>
          <w:trHeight w:val="560"/>
        </w:trPr>
        <w:tc>
          <w:tcPr>
            <w:tcW w:w="700" w:type="dxa"/>
            <w:tcMar>
              <w:top w:w="0" w:type="dxa"/>
              <w:bottom w:w="0" w:type="dxa"/>
            </w:tcMar>
            <w:vAlign w:val="center"/>
          </w:tcPr>
          <w:p w14:paraId="6E01793C" w14:textId="77777777" w:rsidR="000149DF" w:rsidRDefault="00000000">
            <w:pPr>
              <w:keepNext/>
              <w:keepLines/>
              <w:spacing w:after="0" w:line="240" w:lineRule="auto"/>
            </w:pPr>
            <w:r>
              <w:rPr>
                <w:sz w:val="18"/>
              </w:rPr>
              <w:t>6361</w:t>
            </w:r>
          </w:p>
        </w:tc>
        <w:tc>
          <w:tcPr>
            <w:tcW w:w="3180" w:type="dxa"/>
            <w:tcMar>
              <w:top w:w="0" w:type="dxa"/>
              <w:bottom w:w="0" w:type="dxa"/>
            </w:tcMar>
            <w:vAlign w:val="center"/>
          </w:tcPr>
          <w:p w14:paraId="4994E117" w14:textId="77777777" w:rsidR="000149DF" w:rsidRDefault="00000000">
            <w:pPr>
              <w:keepNext/>
              <w:keepLines/>
              <w:spacing w:after="0" w:line="240" w:lineRule="auto"/>
            </w:pPr>
            <w:r>
              <w:rPr>
                <w:sz w:val="18"/>
              </w:rPr>
              <w:t>Tekuće pomoći proračunskim korisnicima iz proračuna koji im nije nadležan</w:t>
            </w:r>
          </w:p>
        </w:tc>
        <w:tc>
          <w:tcPr>
            <w:tcW w:w="700" w:type="dxa"/>
            <w:tcMar>
              <w:top w:w="0" w:type="dxa"/>
              <w:bottom w:w="0" w:type="dxa"/>
            </w:tcMar>
            <w:vAlign w:val="center"/>
          </w:tcPr>
          <w:p w14:paraId="6F8C1794" w14:textId="77777777" w:rsidR="000149DF" w:rsidRDefault="00000000">
            <w:pPr>
              <w:keepNext/>
              <w:keepLines/>
              <w:spacing w:after="0" w:line="240" w:lineRule="auto"/>
            </w:pPr>
            <w:r>
              <w:rPr>
                <w:sz w:val="18"/>
              </w:rPr>
              <w:t>6361</w:t>
            </w:r>
          </w:p>
        </w:tc>
        <w:tc>
          <w:tcPr>
            <w:tcW w:w="1860" w:type="dxa"/>
            <w:tcMar>
              <w:top w:w="0" w:type="dxa"/>
              <w:bottom w:w="0" w:type="dxa"/>
            </w:tcMar>
            <w:vAlign w:val="center"/>
          </w:tcPr>
          <w:p w14:paraId="6C717C01" w14:textId="77777777" w:rsidR="000149DF" w:rsidRDefault="00000000">
            <w:pPr>
              <w:keepNext/>
              <w:keepLines/>
              <w:spacing w:after="0" w:line="240" w:lineRule="auto"/>
              <w:jc w:val="right"/>
            </w:pPr>
            <w:r>
              <w:rPr>
                <w:sz w:val="18"/>
              </w:rPr>
              <w:t>136.691,81</w:t>
            </w:r>
          </w:p>
        </w:tc>
        <w:tc>
          <w:tcPr>
            <w:tcW w:w="1860" w:type="dxa"/>
            <w:tcMar>
              <w:top w:w="0" w:type="dxa"/>
              <w:bottom w:w="0" w:type="dxa"/>
            </w:tcMar>
            <w:vAlign w:val="center"/>
          </w:tcPr>
          <w:p w14:paraId="58AF1A4A" w14:textId="77777777" w:rsidR="000149DF" w:rsidRDefault="00000000">
            <w:pPr>
              <w:keepNext/>
              <w:keepLines/>
              <w:spacing w:after="0" w:line="240" w:lineRule="auto"/>
              <w:jc w:val="right"/>
            </w:pPr>
            <w:r>
              <w:rPr>
                <w:sz w:val="18"/>
              </w:rPr>
              <w:t>139.420,88</w:t>
            </w:r>
          </w:p>
        </w:tc>
        <w:tc>
          <w:tcPr>
            <w:tcW w:w="700" w:type="dxa"/>
            <w:tcMar>
              <w:top w:w="0" w:type="dxa"/>
              <w:bottom w:w="0" w:type="dxa"/>
            </w:tcMar>
            <w:vAlign w:val="center"/>
          </w:tcPr>
          <w:p w14:paraId="50906053" w14:textId="77777777" w:rsidR="000149DF" w:rsidRDefault="00000000">
            <w:pPr>
              <w:keepNext/>
              <w:keepLines/>
              <w:spacing w:after="0" w:line="240" w:lineRule="auto"/>
              <w:jc w:val="right"/>
            </w:pPr>
            <w:r>
              <w:rPr>
                <w:sz w:val="18"/>
              </w:rPr>
              <w:t>102,0</w:t>
            </w:r>
          </w:p>
        </w:tc>
      </w:tr>
    </w:tbl>
    <w:p w14:paraId="2C4E68A1" w14:textId="77777777" w:rsidR="000149DF" w:rsidRDefault="000149DF">
      <w:pPr>
        <w:spacing w:after="0"/>
      </w:pPr>
    </w:p>
    <w:p w14:paraId="5710AAB9" w14:textId="77777777" w:rsidR="000149DF" w:rsidRDefault="00000000">
      <w:r>
        <w:t>Pomoći proračunskim korisnicima iz proračuna koji im nije nadležan doznačile su Općina Župa Dubrovačka 72.182,47 €, Općina Konavle 42.999,89 €, Općina Dubrovačko primorje 20.819,07 € i Općina Ston 3.419,45 €,  za sufinanciranje produženog boravka učenika u Osnovnim školama Župa Dubrovačka, Cavtat, Gruda, Slano i Ston. Općina Ston se u produženi boravak uključila tek od rujna 2025. godine.</w:t>
      </w:r>
    </w:p>
    <w:p w14:paraId="35726AED" w14:textId="77777777" w:rsidR="000149DF" w:rsidRDefault="000149DF"/>
    <w:p w14:paraId="017CD946" w14:textId="77777777" w:rsidR="000149DF" w:rsidRDefault="00000000">
      <w:pPr>
        <w:keepNext/>
        <w:spacing w:line="240" w:lineRule="auto"/>
        <w:jc w:val="center"/>
      </w:pPr>
      <w:r>
        <w:rPr>
          <w:sz w:val="28"/>
        </w:rPr>
        <w:t>Bilješka 14.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B49110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DA7F75F"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FC9C00C"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9D944BF"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F2F0DF2"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B36C1BD"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EB33019" w14:textId="77777777" w:rsidR="000149DF" w:rsidRDefault="00000000">
            <w:pPr>
              <w:keepNext/>
              <w:keepLines/>
              <w:spacing w:after="0" w:line="240" w:lineRule="auto"/>
              <w:jc w:val="center"/>
            </w:pPr>
            <w:r>
              <w:rPr>
                <w:b/>
                <w:sz w:val="18"/>
              </w:rPr>
              <w:t>Indeks (%)</w:t>
            </w:r>
          </w:p>
        </w:tc>
      </w:tr>
      <w:tr w:rsidR="000149DF" w14:paraId="7D517033" w14:textId="77777777">
        <w:tblPrEx>
          <w:tblCellMar>
            <w:top w:w="0" w:type="dxa"/>
            <w:bottom w:w="0" w:type="dxa"/>
          </w:tblCellMar>
        </w:tblPrEx>
        <w:trPr>
          <w:cantSplit/>
          <w:trHeight w:val="560"/>
        </w:trPr>
        <w:tc>
          <w:tcPr>
            <w:tcW w:w="700" w:type="dxa"/>
            <w:tcMar>
              <w:top w:w="0" w:type="dxa"/>
              <w:bottom w:w="0" w:type="dxa"/>
            </w:tcMar>
            <w:vAlign w:val="center"/>
          </w:tcPr>
          <w:p w14:paraId="4D1E8970" w14:textId="77777777" w:rsidR="000149DF" w:rsidRDefault="00000000">
            <w:pPr>
              <w:keepNext/>
              <w:keepLines/>
              <w:spacing w:after="0" w:line="240" w:lineRule="auto"/>
            </w:pPr>
            <w:r>
              <w:rPr>
                <w:sz w:val="18"/>
              </w:rPr>
              <w:t>6381</w:t>
            </w:r>
          </w:p>
        </w:tc>
        <w:tc>
          <w:tcPr>
            <w:tcW w:w="3180" w:type="dxa"/>
            <w:tcMar>
              <w:top w:w="0" w:type="dxa"/>
              <w:bottom w:w="0" w:type="dxa"/>
            </w:tcMar>
            <w:vAlign w:val="center"/>
          </w:tcPr>
          <w:p w14:paraId="278B765D" w14:textId="77777777" w:rsidR="000149DF" w:rsidRDefault="00000000">
            <w:pPr>
              <w:keepNext/>
              <w:keepLines/>
              <w:spacing w:after="0" w:line="240" w:lineRule="auto"/>
            </w:pPr>
            <w:r>
              <w:rPr>
                <w:sz w:val="18"/>
              </w:rPr>
              <w:t>Tekuće pomoći temeljem prijenosa EU sredstava</w:t>
            </w:r>
          </w:p>
        </w:tc>
        <w:tc>
          <w:tcPr>
            <w:tcW w:w="700" w:type="dxa"/>
            <w:tcMar>
              <w:top w:w="0" w:type="dxa"/>
              <w:bottom w:w="0" w:type="dxa"/>
            </w:tcMar>
            <w:vAlign w:val="center"/>
          </w:tcPr>
          <w:p w14:paraId="2C489E1C" w14:textId="77777777" w:rsidR="000149DF" w:rsidRDefault="00000000">
            <w:pPr>
              <w:keepNext/>
              <w:keepLines/>
              <w:spacing w:after="0" w:line="240" w:lineRule="auto"/>
            </w:pPr>
            <w:r>
              <w:rPr>
                <w:sz w:val="18"/>
              </w:rPr>
              <w:t>6381</w:t>
            </w:r>
          </w:p>
        </w:tc>
        <w:tc>
          <w:tcPr>
            <w:tcW w:w="1860" w:type="dxa"/>
            <w:tcMar>
              <w:top w:w="0" w:type="dxa"/>
              <w:bottom w:w="0" w:type="dxa"/>
            </w:tcMar>
            <w:vAlign w:val="center"/>
          </w:tcPr>
          <w:p w14:paraId="78E66738" w14:textId="77777777" w:rsidR="000149DF" w:rsidRDefault="00000000">
            <w:pPr>
              <w:keepNext/>
              <w:keepLines/>
              <w:spacing w:after="0" w:line="240" w:lineRule="auto"/>
              <w:jc w:val="right"/>
            </w:pPr>
            <w:r>
              <w:rPr>
                <w:sz w:val="18"/>
              </w:rPr>
              <w:t>195.818,28</w:t>
            </w:r>
          </w:p>
        </w:tc>
        <w:tc>
          <w:tcPr>
            <w:tcW w:w="1860" w:type="dxa"/>
            <w:tcMar>
              <w:top w:w="0" w:type="dxa"/>
              <w:bottom w:w="0" w:type="dxa"/>
            </w:tcMar>
            <w:vAlign w:val="center"/>
          </w:tcPr>
          <w:p w14:paraId="3A12C163" w14:textId="77777777" w:rsidR="000149DF" w:rsidRDefault="00000000">
            <w:pPr>
              <w:keepNext/>
              <w:keepLines/>
              <w:spacing w:after="0" w:line="240" w:lineRule="auto"/>
              <w:jc w:val="right"/>
            </w:pPr>
            <w:r>
              <w:rPr>
                <w:sz w:val="18"/>
              </w:rPr>
              <w:t>779.371,52</w:t>
            </w:r>
          </w:p>
        </w:tc>
        <w:tc>
          <w:tcPr>
            <w:tcW w:w="700" w:type="dxa"/>
            <w:tcMar>
              <w:top w:w="0" w:type="dxa"/>
              <w:bottom w:w="0" w:type="dxa"/>
            </w:tcMar>
            <w:vAlign w:val="center"/>
          </w:tcPr>
          <w:p w14:paraId="7C91B81F" w14:textId="77777777" w:rsidR="000149DF" w:rsidRDefault="00000000">
            <w:pPr>
              <w:keepNext/>
              <w:keepLines/>
              <w:spacing w:after="0" w:line="240" w:lineRule="auto"/>
              <w:jc w:val="right"/>
            </w:pPr>
            <w:r>
              <w:rPr>
                <w:sz w:val="18"/>
              </w:rPr>
              <w:t>398,0</w:t>
            </w:r>
          </w:p>
        </w:tc>
      </w:tr>
    </w:tbl>
    <w:p w14:paraId="384A46F2" w14:textId="77777777" w:rsidR="000149DF" w:rsidRDefault="000149DF">
      <w:pPr>
        <w:spacing w:after="0"/>
      </w:pPr>
    </w:p>
    <w:p w14:paraId="1490737B" w14:textId="77777777" w:rsidR="000149DF" w:rsidRDefault="00000000">
      <w:r>
        <w:t>Iznos od 779.371.52 € odnosi se na:</w:t>
      </w:r>
    </w:p>
    <w:p w14:paraId="04AAE6B1" w14:textId="77777777" w:rsidR="000149DF" w:rsidRDefault="00000000">
      <w:pPr>
        <w:pStyle w:val="ListParagraph"/>
        <w:numPr>
          <w:ilvl w:val="0"/>
          <w:numId w:val="1"/>
        </w:numPr>
      </w:pPr>
      <w:r>
        <w:t>tekuće pomoći iz državnog proračuna temeljem prijenosa EU sredstava uplaćene su u iznosu od 472.709,83 € za EU projekt Zajedno možemo sve VIII – pomoćnici u nastavi</w:t>
      </w:r>
    </w:p>
    <w:p w14:paraId="2B60BFD6" w14:textId="77777777" w:rsidR="000149DF" w:rsidRDefault="00000000">
      <w:pPr>
        <w:pStyle w:val="ListParagraph"/>
        <w:numPr>
          <w:ilvl w:val="0"/>
          <w:numId w:val="1"/>
        </w:numPr>
      </w:pPr>
      <w:r>
        <w:t>Tekuće pomoći iz državnog proračuna temeljem prijenosa EU sredstava uplaćene su u iznosu od 15.310,82 € za EU  projekt Socijalni plan - povećanje dostupnosti i ravnomjerni razvoj socijalnih usluga na području DNŽ, </w:t>
      </w:r>
    </w:p>
    <w:p w14:paraId="39AC3CAD" w14:textId="77777777" w:rsidR="000149DF" w:rsidRDefault="00000000">
      <w:pPr>
        <w:pStyle w:val="ListParagraph"/>
        <w:numPr>
          <w:ilvl w:val="0"/>
          <w:numId w:val="1"/>
        </w:numPr>
      </w:pPr>
      <w:r>
        <w:t>Agencija za plaćanje u poljoprivredi, ribarstvu i ruralnom razvoju uplatila je  sredstava u iznosu od 34.876,29 za projekt Školska shema voća, povrća i mlijeka,</w:t>
      </w:r>
    </w:p>
    <w:p w14:paraId="1FA07AB6" w14:textId="77777777" w:rsidR="000149DF" w:rsidRDefault="00000000">
      <w:pPr>
        <w:pStyle w:val="ListParagraph"/>
        <w:numPr>
          <w:ilvl w:val="0"/>
          <w:numId w:val="1"/>
        </w:numPr>
      </w:pPr>
      <w:r>
        <w:t>Iznos od 109.373,21 € odnosi se na refundaciju sredstava za predfinanciranje EU projekata - JU Dunea</w:t>
      </w:r>
    </w:p>
    <w:p w14:paraId="6A9064FE" w14:textId="77777777" w:rsidR="000149DF" w:rsidRDefault="00000000">
      <w:pPr>
        <w:pStyle w:val="ListParagraph"/>
        <w:numPr>
          <w:ilvl w:val="0"/>
          <w:numId w:val="1"/>
        </w:numPr>
      </w:pPr>
      <w:r>
        <w:t>Iznos od 147.101,37 € odnosi se na uplatu po ZNS za EU projekt MOWACLIM.</w:t>
      </w:r>
    </w:p>
    <w:p w14:paraId="407F4C0D" w14:textId="77777777" w:rsidR="000149DF" w:rsidRDefault="000149DF"/>
    <w:p w14:paraId="6E955826" w14:textId="77777777" w:rsidR="000149DF" w:rsidRDefault="00000000">
      <w:pPr>
        <w:keepNext/>
        <w:spacing w:line="240" w:lineRule="auto"/>
        <w:jc w:val="center"/>
      </w:pPr>
      <w:r>
        <w:rPr>
          <w:sz w:val="28"/>
        </w:rPr>
        <w:t>Bilješka 15.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B60AD8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263AA4E"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4895FF4"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53309F4"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211A84A"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A71DFC6"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DA26DF2" w14:textId="77777777" w:rsidR="000149DF" w:rsidRDefault="00000000">
            <w:pPr>
              <w:keepNext/>
              <w:keepLines/>
              <w:spacing w:after="0" w:line="240" w:lineRule="auto"/>
              <w:jc w:val="center"/>
            </w:pPr>
            <w:r>
              <w:rPr>
                <w:b/>
                <w:sz w:val="18"/>
              </w:rPr>
              <w:t>Indeks (%)</w:t>
            </w:r>
          </w:p>
        </w:tc>
      </w:tr>
      <w:tr w:rsidR="000149DF" w14:paraId="52A2E79A" w14:textId="77777777">
        <w:tblPrEx>
          <w:tblCellMar>
            <w:top w:w="0" w:type="dxa"/>
            <w:bottom w:w="0" w:type="dxa"/>
          </w:tblCellMar>
        </w:tblPrEx>
        <w:trPr>
          <w:cantSplit/>
          <w:trHeight w:val="560"/>
        </w:trPr>
        <w:tc>
          <w:tcPr>
            <w:tcW w:w="700" w:type="dxa"/>
            <w:tcMar>
              <w:top w:w="0" w:type="dxa"/>
              <w:bottom w:w="0" w:type="dxa"/>
            </w:tcMar>
            <w:vAlign w:val="center"/>
          </w:tcPr>
          <w:p w14:paraId="46EE4BB1" w14:textId="77777777" w:rsidR="000149DF" w:rsidRDefault="00000000">
            <w:pPr>
              <w:keepNext/>
              <w:keepLines/>
              <w:spacing w:after="0" w:line="240" w:lineRule="auto"/>
            </w:pPr>
            <w:r>
              <w:rPr>
                <w:sz w:val="18"/>
              </w:rPr>
              <w:t>6382</w:t>
            </w:r>
          </w:p>
        </w:tc>
        <w:tc>
          <w:tcPr>
            <w:tcW w:w="3180" w:type="dxa"/>
            <w:tcMar>
              <w:top w:w="0" w:type="dxa"/>
              <w:bottom w:w="0" w:type="dxa"/>
            </w:tcMar>
            <w:vAlign w:val="center"/>
          </w:tcPr>
          <w:p w14:paraId="3EDAA6EF" w14:textId="77777777" w:rsidR="000149DF" w:rsidRDefault="00000000">
            <w:pPr>
              <w:keepNext/>
              <w:keepLines/>
              <w:spacing w:after="0" w:line="240" w:lineRule="auto"/>
            </w:pPr>
            <w:r>
              <w:rPr>
                <w:sz w:val="18"/>
              </w:rPr>
              <w:t>Kapitalne pomoći temeljem prijenosa EU sredstava</w:t>
            </w:r>
          </w:p>
        </w:tc>
        <w:tc>
          <w:tcPr>
            <w:tcW w:w="700" w:type="dxa"/>
            <w:tcMar>
              <w:top w:w="0" w:type="dxa"/>
              <w:bottom w:w="0" w:type="dxa"/>
            </w:tcMar>
            <w:vAlign w:val="center"/>
          </w:tcPr>
          <w:p w14:paraId="6542EC4C" w14:textId="77777777" w:rsidR="000149DF" w:rsidRDefault="00000000">
            <w:pPr>
              <w:keepNext/>
              <w:keepLines/>
              <w:spacing w:after="0" w:line="240" w:lineRule="auto"/>
            </w:pPr>
            <w:r>
              <w:rPr>
                <w:sz w:val="18"/>
              </w:rPr>
              <w:t>6382</w:t>
            </w:r>
          </w:p>
        </w:tc>
        <w:tc>
          <w:tcPr>
            <w:tcW w:w="1860" w:type="dxa"/>
            <w:tcMar>
              <w:top w:w="0" w:type="dxa"/>
              <w:bottom w:w="0" w:type="dxa"/>
            </w:tcMar>
            <w:vAlign w:val="center"/>
          </w:tcPr>
          <w:p w14:paraId="537018C4" w14:textId="77777777" w:rsidR="000149DF" w:rsidRDefault="00000000">
            <w:pPr>
              <w:keepNext/>
              <w:keepLines/>
              <w:spacing w:after="0" w:line="240" w:lineRule="auto"/>
              <w:jc w:val="right"/>
            </w:pPr>
            <w:r>
              <w:rPr>
                <w:sz w:val="18"/>
              </w:rPr>
              <w:t>1.330.905,30</w:t>
            </w:r>
          </w:p>
        </w:tc>
        <w:tc>
          <w:tcPr>
            <w:tcW w:w="1860" w:type="dxa"/>
            <w:tcMar>
              <w:top w:w="0" w:type="dxa"/>
              <w:bottom w:w="0" w:type="dxa"/>
            </w:tcMar>
            <w:vAlign w:val="center"/>
          </w:tcPr>
          <w:p w14:paraId="0E730C65" w14:textId="77777777" w:rsidR="000149DF" w:rsidRDefault="00000000">
            <w:pPr>
              <w:keepNext/>
              <w:keepLines/>
              <w:spacing w:after="0" w:line="240" w:lineRule="auto"/>
              <w:jc w:val="right"/>
            </w:pPr>
            <w:r>
              <w:rPr>
                <w:sz w:val="18"/>
              </w:rPr>
              <w:t>5.924.645,74</w:t>
            </w:r>
          </w:p>
        </w:tc>
        <w:tc>
          <w:tcPr>
            <w:tcW w:w="700" w:type="dxa"/>
            <w:tcMar>
              <w:top w:w="0" w:type="dxa"/>
              <w:bottom w:w="0" w:type="dxa"/>
            </w:tcMar>
            <w:vAlign w:val="center"/>
          </w:tcPr>
          <w:p w14:paraId="6EAF3576" w14:textId="77777777" w:rsidR="000149DF" w:rsidRDefault="00000000">
            <w:pPr>
              <w:keepNext/>
              <w:keepLines/>
              <w:spacing w:after="0" w:line="240" w:lineRule="auto"/>
              <w:jc w:val="right"/>
            </w:pPr>
            <w:r>
              <w:rPr>
                <w:sz w:val="18"/>
              </w:rPr>
              <w:t>445,2</w:t>
            </w:r>
          </w:p>
        </w:tc>
      </w:tr>
    </w:tbl>
    <w:p w14:paraId="4E9BE2F9" w14:textId="77777777" w:rsidR="000149DF" w:rsidRDefault="000149DF">
      <w:pPr>
        <w:spacing w:after="0"/>
      </w:pPr>
    </w:p>
    <w:p w14:paraId="4D5F571A" w14:textId="77777777" w:rsidR="000149DF" w:rsidRDefault="00000000">
      <w:r>
        <w:t>Iznos od 5.924.645,74 € odnosi se na:</w:t>
      </w:r>
    </w:p>
    <w:p w14:paraId="5D9D68D2" w14:textId="77777777" w:rsidR="000149DF" w:rsidRDefault="00000000">
      <w:pPr>
        <w:pStyle w:val="ListParagraph"/>
        <w:numPr>
          <w:ilvl w:val="0"/>
          <w:numId w:val="1"/>
        </w:numPr>
      </w:pPr>
      <w:r>
        <w:t>Kapitalne pomoći temeljem prijenosa EU sredstava za refundaciju sredstava za predfinanciranje EU projekta Life Contra Ailanthus u iznosu od 86.663,85 € - Javna ustanova za upravljanje zaštićenim dijelovima prirode DNŽ, </w:t>
      </w:r>
    </w:p>
    <w:p w14:paraId="7ACB1B19" w14:textId="77777777" w:rsidR="000149DF" w:rsidRDefault="00000000">
      <w:pPr>
        <w:pStyle w:val="ListParagraph"/>
        <w:numPr>
          <w:ilvl w:val="0"/>
          <w:numId w:val="1"/>
        </w:numPr>
      </w:pPr>
      <w:r>
        <w:t>Refundacija sredstava za predfinanciranje EU projekta Znanjem do EU fondova u iznosu od 113.069,57 € - Javna ustanova DUNEA</w:t>
      </w:r>
    </w:p>
    <w:p w14:paraId="5CDB93FA" w14:textId="77777777" w:rsidR="000149DF" w:rsidRDefault="00000000">
      <w:pPr>
        <w:pStyle w:val="ListParagraph"/>
        <w:numPr>
          <w:ilvl w:val="0"/>
          <w:numId w:val="1"/>
        </w:numPr>
      </w:pPr>
      <w:r>
        <w:t>Refundacija sredstava za predfinanciranje projekta Rise up u iznosu od 231.323,36 € - Dom zdravlja Metković</w:t>
      </w:r>
    </w:p>
    <w:p w14:paraId="6EC8CE6F" w14:textId="77777777" w:rsidR="000149DF" w:rsidRDefault="00000000">
      <w:pPr>
        <w:pStyle w:val="ListParagraph"/>
        <w:numPr>
          <w:ilvl w:val="0"/>
          <w:numId w:val="1"/>
        </w:numPr>
      </w:pPr>
      <w:r>
        <w:t>Kapitalna pomoć iz državnog proračuna temeljem prijenosa EU sredstava u iznosu od 5.417.006,73 € odnosi se na uplatu za EU projekt Izgradnja i opremanje osnovne škole Cavtat novi projekt u 2025. godini  </w:t>
      </w:r>
    </w:p>
    <w:p w14:paraId="28A478C1" w14:textId="77777777" w:rsidR="000149DF" w:rsidRDefault="00000000">
      <w:pPr>
        <w:pStyle w:val="ListParagraph"/>
        <w:numPr>
          <w:ilvl w:val="0"/>
          <w:numId w:val="1"/>
        </w:numPr>
      </w:pPr>
      <w:r>
        <w:t>Kapitalna pomoć iz državnog proračuna temeljem prijenosa EU sredstava u iznosu od 19.574,00 € odnosi se na uplatu za EU projekt Rekonstrukciju Gimnazije Metković</w:t>
      </w:r>
    </w:p>
    <w:p w14:paraId="48B9447A" w14:textId="77777777" w:rsidR="000149DF" w:rsidRDefault="00000000">
      <w:pPr>
        <w:pStyle w:val="ListParagraph"/>
        <w:numPr>
          <w:ilvl w:val="0"/>
          <w:numId w:val="1"/>
        </w:numPr>
      </w:pPr>
      <w:r>
        <w:t>Kapitalna pomoć i državnog proračuna u iznosu od 57.008,23 € odnosi se na uplatu po ZNS za EU projekt ACTIVE</w:t>
      </w:r>
    </w:p>
    <w:p w14:paraId="0684D749" w14:textId="77777777" w:rsidR="000149DF" w:rsidRDefault="000149DF"/>
    <w:p w14:paraId="3143D2A1" w14:textId="77777777" w:rsidR="000149DF" w:rsidRDefault="00000000">
      <w:pPr>
        <w:keepNext/>
        <w:spacing w:line="240" w:lineRule="auto"/>
        <w:jc w:val="center"/>
      </w:pPr>
      <w:r>
        <w:rPr>
          <w:sz w:val="28"/>
        </w:rPr>
        <w:t>Bilješka 16.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340ED1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1F42C6E"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F592571"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9FE43B4"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A78408F"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25184A4"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C5A677C" w14:textId="77777777" w:rsidR="000149DF" w:rsidRDefault="00000000">
            <w:pPr>
              <w:keepNext/>
              <w:keepLines/>
              <w:spacing w:after="0" w:line="240" w:lineRule="auto"/>
              <w:jc w:val="center"/>
            </w:pPr>
            <w:r>
              <w:rPr>
                <w:b/>
                <w:sz w:val="18"/>
              </w:rPr>
              <w:t>Indeks (%)</w:t>
            </w:r>
          </w:p>
        </w:tc>
      </w:tr>
      <w:tr w:rsidR="000149DF" w14:paraId="58C0C67F" w14:textId="77777777">
        <w:tblPrEx>
          <w:tblCellMar>
            <w:top w:w="0" w:type="dxa"/>
            <w:bottom w:w="0" w:type="dxa"/>
          </w:tblCellMar>
        </w:tblPrEx>
        <w:trPr>
          <w:cantSplit/>
          <w:trHeight w:val="560"/>
        </w:trPr>
        <w:tc>
          <w:tcPr>
            <w:tcW w:w="700" w:type="dxa"/>
            <w:tcMar>
              <w:top w:w="0" w:type="dxa"/>
              <w:bottom w:w="0" w:type="dxa"/>
            </w:tcMar>
            <w:vAlign w:val="center"/>
          </w:tcPr>
          <w:p w14:paraId="4CD38A1B" w14:textId="77777777" w:rsidR="000149DF" w:rsidRDefault="00000000">
            <w:pPr>
              <w:keepNext/>
              <w:keepLines/>
              <w:spacing w:after="0" w:line="240" w:lineRule="auto"/>
            </w:pPr>
            <w:r>
              <w:rPr>
                <w:sz w:val="18"/>
              </w:rPr>
              <w:t>639</w:t>
            </w:r>
          </w:p>
        </w:tc>
        <w:tc>
          <w:tcPr>
            <w:tcW w:w="3180" w:type="dxa"/>
            <w:tcMar>
              <w:top w:w="0" w:type="dxa"/>
              <w:bottom w:w="0" w:type="dxa"/>
            </w:tcMar>
            <w:vAlign w:val="center"/>
          </w:tcPr>
          <w:p w14:paraId="6A65FAFC" w14:textId="77777777" w:rsidR="000149DF" w:rsidRDefault="00000000">
            <w:pPr>
              <w:keepNext/>
              <w:keepLines/>
              <w:spacing w:after="0" w:line="240" w:lineRule="auto"/>
            </w:pPr>
            <w:r>
              <w:rPr>
                <w:sz w:val="18"/>
              </w:rPr>
              <w:t>Prijenosi između proračunskih korisnika istog proračuna (šifre 6391 do 6394)</w:t>
            </w:r>
          </w:p>
        </w:tc>
        <w:tc>
          <w:tcPr>
            <w:tcW w:w="700" w:type="dxa"/>
            <w:tcMar>
              <w:top w:w="0" w:type="dxa"/>
              <w:bottom w:w="0" w:type="dxa"/>
            </w:tcMar>
            <w:vAlign w:val="center"/>
          </w:tcPr>
          <w:p w14:paraId="655A72D5" w14:textId="77777777" w:rsidR="000149DF" w:rsidRDefault="00000000">
            <w:pPr>
              <w:keepNext/>
              <w:keepLines/>
              <w:spacing w:after="0" w:line="240" w:lineRule="auto"/>
            </w:pPr>
            <w:r>
              <w:rPr>
                <w:sz w:val="18"/>
              </w:rPr>
              <w:t>639</w:t>
            </w:r>
          </w:p>
        </w:tc>
        <w:tc>
          <w:tcPr>
            <w:tcW w:w="1860" w:type="dxa"/>
            <w:tcMar>
              <w:top w:w="0" w:type="dxa"/>
              <w:bottom w:w="0" w:type="dxa"/>
            </w:tcMar>
            <w:vAlign w:val="center"/>
          </w:tcPr>
          <w:p w14:paraId="59F434B0" w14:textId="77777777" w:rsidR="000149DF" w:rsidRDefault="00000000">
            <w:pPr>
              <w:keepNext/>
              <w:keepLines/>
              <w:spacing w:after="0" w:line="240" w:lineRule="auto"/>
              <w:jc w:val="right"/>
            </w:pPr>
            <w:r>
              <w:rPr>
                <w:sz w:val="18"/>
              </w:rPr>
              <w:t>173.282,53</w:t>
            </w:r>
          </w:p>
        </w:tc>
        <w:tc>
          <w:tcPr>
            <w:tcW w:w="1860" w:type="dxa"/>
            <w:tcMar>
              <w:top w:w="0" w:type="dxa"/>
              <w:bottom w:w="0" w:type="dxa"/>
            </w:tcMar>
            <w:vAlign w:val="center"/>
          </w:tcPr>
          <w:p w14:paraId="08961F94" w14:textId="77777777" w:rsidR="000149DF" w:rsidRDefault="00000000">
            <w:pPr>
              <w:keepNext/>
              <w:keepLines/>
              <w:spacing w:after="0" w:line="240" w:lineRule="auto"/>
              <w:jc w:val="right"/>
            </w:pPr>
            <w:r>
              <w:rPr>
                <w:sz w:val="18"/>
              </w:rPr>
              <w:t>109.037,44</w:t>
            </w:r>
          </w:p>
        </w:tc>
        <w:tc>
          <w:tcPr>
            <w:tcW w:w="700" w:type="dxa"/>
            <w:tcMar>
              <w:top w:w="0" w:type="dxa"/>
              <w:bottom w:w="0" w:type="dxa"/>
            </w:tcMar>
            <w:vAlign w:val="center"/>
          </w:tcPr>
          <w:p w14:paraId="024629DD" w14:textId="77777777" w:rsidR="000149DF" w:rsidRDefault="00000000">
            <w:pPr>
              <w:keepNext/>
              <w:keepLines/>
              <w:spacing w:after="0" w:line="240" w:lineRule="auto"/>
              <w:jc w:val="right"/>
            </w:pPr>
            <w:r>
              <w:rPr>
                <w:sz w:val="18"/>
              </w:rPr>
              <w:t>62,9</w:t>
            </w:r>
          </w:p>
        </w:tc>
      </w:tr>
    </w:tbl>
    <w:p w14:paraId="768BCD5A" w14:textId="77777777" w:rsidR="000149DF" w:rsidRDefault="000149DF">
      <w:pPr>
        <w:spacing w:after="0"/>
      </w:pPr>
    </w:p>
    <w:p w14:paraId="6C51F705" w14:textId="77777777" w:rsidR="000149DF" w:rsidRDefault="00000000">
      <w:r>
        <w:t>Prijenosi između proračunskih korisnika ostvareni su u iznosu od 109.037,44 €, a odnose se na kapitalni prijenos vodećeg partnera Specijalne bolnice Kalos županiji, partneru na projektu, po po ZNS br. 2, 3, 4, 5 i 6 za EU projekt Rekonstrukcija, prenamjena i uređenje kompleksa Specijalne bolnice Kalos u funkciji lječilišnog i wellness turizma.</w:t>
      </w:r>
    </w:p>
    <w:p w14:paraId="1F7E6870" w14:textId="77777777" w:rsidR="000149DF" w:rsidRDefault="000149DF"/>
    <w:p w14:paraId="4F7960A3" w14:textId="77777777" w:rsidR="000149DF" w:rsidRDefault="00000000">
      <w:pPr>
        <w:keepNext/>
        <w:spacing w:line="240" w:lineRule="auto"/>
        <w:jc w:val="center"/>
      </w:pPr>
      <w:r>
        <w:rPr>
          <w:sz w:val="28"/>
        </w:rPr>
        <w:t>Bilješka 17.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BD1410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E7D1FC8"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139424E"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CB16D8C"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DC46B14"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34CA239"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DF85B3F" w14:textId="77777777" w:rsidR="000149DF" w:rsidRDefault="00000000">
            <w:pPr>
              <w:keepNext/>
              <w:keepLines/>
              <w:spacing w:after="0" w:line="240" w:lineRule="auto"/>
              <w:jc w:val="center"/>
            </w:pPr>
            <w:r>
              <w:rPr>
                <w:b/>
                <w:sz w:val="18"/>
              </w:rPr>
              <w:t>Indeks (%)</w:t>
            </w:r>
          </w:p>
        </w:tc>
      </w:tr>
      <w:tr w:rsidR="000149DF" w14:paraId="583BBE47" w14:textId="77777777">
        <w:tblPrEx>
          <w:tblCellMar>
            <w:top w:w="0" w:type="dxa"/>
            <w:bottom w:w="0" w:type="dxa"/>
          </w:tblCellMar>
        </w:tblPrEx>
        <w:trPr>
          <w:cantSplit/>
          <w:trHeight w:val="560"/>
        </w:trPr>
        <w:tc>
          <w:tcPr>
            <w:tcW w:w="700" w:type="dxa"/>
            <w:tcMar>
              <w:top w:w="0" w:type="dxa"/>
              <w:bottom w:w="0" w:type="dxa"/>
            </w:tcMar>
            <w:vAlign w:val="center"/>
          </w:tcPr>
          <w:p w14:paraId="75B770EB" w14:textId="77777777" w:rsidR="000149DF" w:rsidRDefault="00000000">
            <w:pPr>
              <w:keepNext/>
              <w:keepLines/>
              <w:spacing w:after="0" w:line="240" w:lineRule="auto"/>
            </w:pPr>
            <w:r>
              <w:rPr>
                <w:sz w:val="18"/>
              </w:rPr>
              <w:t>6413</w:t>
            </w:r>
          </w:p>
        </w:tc>
        <w:tc>
          <w:tcPr>
            <w:tcW w:w="3180" w:type="dxa"/>
            <w:tcMar>
              <w:top w:w="0" w:type="dxa"/>
              <w:bottom w:w="0" w:type="dxa"/>
            </w:tcMar>
            <w:vAlign w:val="center"/>
          </w:tcPr>
          <w:p w14:paraId="1973D1FF" w14:textId="77777777" w:rsidR="000149DF" w:rsidRDefault="00000000">
            <w:pPr>
              <w:keepNext/>
              <w:keepLines/>
              <w:spacing w:after="0" w:line="240" w:lineRule="auto"/>
            </w:pPr>
            <w:r>
              <w:rPr>
                <w:sz w:val="18"/>
              </w:rPr>
              <w:t>Kamate na oročena sredstva i depozite po viđenju</w:t>
            </w:r>
          </w:p>
        </w:tc>
        <w:tc>
          <w:tcPr>
            <w:tcW w:w="700" w:type="dxa"/>
            <w:tcMar>
              <w:top w:w="0" w:type="dxa"/>
              <w:bottom w:w="0" w:type="dxa"/>
            </w:tcMar>
            <w:vAlign w:val="center"/>
          </w:tcPr>
          <w:p w14:paraId="0B4BE966" w14:textId="77777777" w:rsidR="000149DF" w:rsidRDefault="00000000">
            <w:pPr>
              <w:keepNext/>
              <w:keepLines/>
              <w:spacing w:after="0" w:line="240" w:lineRule="auto"/>
            </w:pPr>
            <w:r>
              <w:rPr>
                <w:sz w:val="18"/>
              </w:rPr>
              <w:t>6413</w:t>
            </w:r>
          </w:p>
        </w:tc>
        <w:tc>
          <w:tcPr>
            <w:tcW w:w="1860" w:type="dxa"/>
            <w:tcMar>
              <w:top w:w="0" w:type="dxa"/>
              <w:bottom w:w="0" w:type="dxa"/>
            </w:tcMar>
            <w:vAlign w:val="center"/>
          </w:tcPr>
          <w:p w14:paraId="7A45A5A6" w14:textId="77777777" w:rsidR="000149DF" w:rsidRDefault="00000000">
            <w:pPr>
              <w:keepNext/>
              <w:keepLines/>
              <w:spacing w:after="0" w:line="240" w:lineRule="auto"/>
              <w:jc w:val="right"/>
            </w:pPr>
            <w:r>
              <w:rPr>
                <w:sz w:val="18"/>
              </w:rPr>
              <w:t>34.519,48</w:t>
            </w:r>
          </w:p>
        </w:tc>
        <w:tc>
          <w:tcPr>
            <w:tcW w:w="1860" w:type="dxa"/>
            <w:tcMar>
              <w:top w:w="0" w:type="dxa"/>
              <w:bottom w:w="0" w:type="dxa"/>
            </w:tcMar>
            <w:vAlign w:val="center"/>
          </w:tcPr>
          <w:p w14:paraId="5CF0C8F7" w14:textId="77777777" w:rsidR="000149DF" w:rsidRDefault="00000000">
            <w:pPr>
              <w:keepNext/>
              <w:keepLines/>
              <w:spacing w:after="0" w:line="240" w:lineRule="auto"/>
              <w:jc w:val="right"/>
            </w:pPr>
            <w:r>
              <w:rPr>
                <w:sz w:val="18"/>
              </w:rPr>
              <w:t>46.226,20</w:t>
            </w:r>
          </w:p>
        </w:tc>
        <w:tc>
          <w:tcPr>
            <w:tcW w:w="700" w:type="dxa"/>
            <w:tcMar>
              <w:top w:w="0" w:type="dxa"/>
              <w:bottom w:w="0" w:type="dxa"/>
            </w:tcMar>
            <w:vAlign w:val="center"/>
          </w:tcPr>
          <w:p w14:paraId="1C5A88B8" w14:textId="77777777" w:rsidR="000149DF" w:rsidRDefault="00000000">
            <w:pPr>
              <w:keepNext/>
              <w:keepLines/>
              <w:spacing w:after="0" w:line="240" w:lineRule="auto"/>
              <w:jc w:val="right"/>
            </w:pPr>
            <w:r>
              <w:rPr>
                <w:sz w:val="18"/>
              </w:rPr>
              <w:t>133,9</w:t>
            </w:r>
          </w:p>
        </w:tc>
      </w:tr>
    </w:tbl>
    <w:p w14:paraId="06FF95EB" w14:textId="77777777" w:rsidR="000149DF" w:rsidRDefault="000149DF">
      <w:pPr>
        <w:spacing w:after="0"/>
      </w:pPr>
    </w:p>
    <w:p w14:paraId="16270FF9" w14:textId="77777777" w:rsidR="000149DF" w:rsidRDefault="00000000">
      <w:r>
        <w:t>Kamate na oročena sredstva i depozite po viđenju ostvarene su u iznosu od 46.226,20 €. Povećanje u odnosu na prethodnu godinu nastalo je zbog povećanja sredstava na žiro računu.</w:t>
      </w:r>
    </w:p>
    <w:p w14:paraId="739C6E63" w14:textId="77777777" w:rsidR="000149DF" w:rsidRDefault="000149DF"/>
    <w:p w14:paraId="5343CF3D" w14:textId="77777777" w:rsidR="000149DF" w:rsidRDefault="00000000">
      <w:pPr>
        <w:keepNext/>
        <w:spacing w:line="240" w:lineRule="auto"/>
        <w:jc w:val="center"/>
      </w:pPr>
      <w:r>
        <w:rPr>
          <w:sz w:val="28"/>
        </w:rPr>
        <w:t>Bilješka 18.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25C5928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B7239FD"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8278F28"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0ABA8E7"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47B88AD"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23717C2"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6974F2E" w14:textId="77777777" w:rsidR="000149DF" w:rsidRDefault="00000000">
            <w:pPr>
              <w:keepNext/>
              <w:keepLines/>
              <w:spacing w:after="0" w:line="240" w:lineRule="auto"/>
              <w:jc w:val="center"/>
            </w:pPr>
            <w:r>
              <w:rPr>
                <w:b/>
                <w:sz w:val="18"/>
              </w:rPr>
              <w:t>Indeks (%)</w:t>
            </w:r>
          </w:p>
        </w:tc>
      </w:tr>
      <w:tr w:rsidR="000149DF" w14:paraId="3AB5D72A" w14:textId="77777777">
        <w:tblPrEx>
          <w:tblCellMar>
            <w:top w:w="0" w:type="dxa"/>
            <w:bottom w:w="0" w:type="dxa"/>
          </w:tblCellMar>
        </w:tblPrEx>
        <w:trPr>
          <w:cantSplit/>
          <w:trHeight w:val="560"/>
        </w:trPr>
        <w:tc>
          <w:tcPr>
            <w:tcW w:w="700" w:type="dxa"/>
            <w:tcMar>
              <w:top w:w="0" w:type="dxa"/>
              <w:bottom w:w="0" w:type="dxa"/>
            </w:tcMar>
            <w:vAlign w:val="center"/>
          </w:tcPr>
          <w:p w14:paraId="2792C711" w14:textId="77777777" w:rsidR="000149DF" w:rsidRDefault="00000000">
            <w:pPr>
              <w:keepNext/>
              <w:keepLines/>
              <w:spacing w:after="0" w:line="240" w:lineRule="auto"/>
            </w:pPr>
            <w:r>
              <w:rPr>
                <w:sz w:val="18"/>
              </w:rPr>
              <w:t>6417</w:t>
            </w:r>
          </w:p>
        </w:tc>
        <w:tc>
          <w:tcPr>
            <w:tcW w:w="3180" w:type="dxa"/>
            <w:tcMar>
              <w:top w:w="0" w:type="dxa"/>
              <w:bottom w:w="0" w:type="dxa"/>
            </w:tcMar>
            <w:vAlign w:val="center"/>
          </w:tcPr>
          <w:p w14:paraId="44EBAD58" w14:textId="77777777" w:rsidR="000149DF" w:rsidRDefault="00000000">
            <w:pPr>
              <w:keepNext/>
              <w:keepLines/>
              <w:spacing w:after="0" w:line="240" w:lineRule="auto"/>
            </w:pPr>
            <w:r>
              <w:rPr>
                <w:sz w:val="18"/>
              </w:rPr>
              <w:t>Prihodi iz dobiti trgovačkih društava, kreditnih i ostalih financijskih institucija po posebnim propisima</w:t>
            </w:r>
          </w:p>
        </w:tc>
        <w:tc>
          <w:tcPr>
            <w:tcW w:w="700" w:type="dxa"/>
            <w:tcMar>
              <w:top w:w="0" w:type="dxa"/>
              <w:bottom w:w="0" w:type="dxa"/>
            </w:tcMar>
            <w:vAlign w:val="center"/>
          </w:tcPr>
          <w:p w14:paraId="2065DE77" w14:textId="77777777" w:rsidR="000149DF" w:rsidRDefault="00000000">
            <w:pPr>
              <w:keepNext/>
              <w:keepLines/>
              <w:spacing w:after="0" w:line="240" w:lineRule="auto"/>
            </w:pPr>
            <w:r>
              <w:rPr>
                <w:sz w:val="18"/>
              </w:rPr>
              <w:t>6417</w:t>
            </w:r>
          </w:p>
        </w:tc>
        <w:tc>
          <w:tcPr>
            <w:tcW w:w="1860" w:type="dxa"/>
            <w:tcMar>
              <w:top w:w="0" w:type="dxa"/>
              <w:bottom w:w="0" w:type="dxa"/>
            </w:tcMar>
            <w:vAlign w:val="center"/>
          </w:tcPr>
          <w:p w14:paraId="7F14385E" w14:textId="77777777" w:rsidR="000149DF" w:rsidRDefault="00000000">
            <w:pPr>
              <w:keepNext/>
              <w:keepLines/>
              <w:spacing w:after="0" w:line="240" w:lineRule="auto"/>
              <w:jc w:val="right"/>
            </w:pPr>
            <w:r>
              <w:rPr>
                <w:sz w:val="18"/>
              </w:rPr>
              <w:t>1.050.814,50</w:t>
            </w:r>
          </w:p>
        </w:tc>
        <w:tc>
          <w:tcPr>
            <w:tcW w:w="1860" w:type="dxa"/>
            <w:tcMar>
              <w:top w:w="0" w:type="dxa"/>
              <w:bottom w:w="0" w:type="dxa"/>
            </w:tcMar>
            <w:vAlign w:val="center"/>
          </w:tcPr>
          <w:p w14:paraId="45C376BE" w14:textId="77777777" w:rsidR="000149DF" w:rsidRDefault="00000000">
            <w:pPr>
              <w:keepNext/>
              <w:keepLines/>
              <w:spacing w:after="0" w:line="240" w:lineRule="auto"/>
              <w:jc w:val="right"/>
            </w:pPr>
            <w:r>
              <w:rPr>
                <w:sz w:val="18"/>
              </w:rPr>
              <w:t>707.688,95</w:t>
            </w:r>
          </w:p>
        </w:tc>
        <w:tc>
          <w:tcPr>
            <w:tcW w:w="700" w:type="dxa"/>
            <w:tcMar>
              <w:top w:w="0" w:type="dxa"/>
              <w:bottom w:w="0" w:type="dxa"/>
            </w:tcMar>
            <w:vAlign w:val="center"/>
          </w:tcPr>
          <w:p w14:paraId="76AF35F4" w14:textId="77777777" w:rsidR="000149DF" w:rsidRDefault="00000000">
            <w:pPr>
              <w:keepNext/>
              <w:keepLines/>
              <w:spacing w:after="0" w:line="240" w:lineRule="auto"/>
              <w:jc w:val="right"/>
            </w:pPr>
            <w:r>
              <w:rPr>
                <w:sz w:val="18"/>
              </w:rPr>
              <w:t>67,3</w:t>
            </w:r>
          </w:p>
        </w:tc>
      </w:tr>
    </w:tbl>
    <w:p w14:paraId="6D0C341B" w14:textId="77777777" w:rsidR="000149DF" w:rsidRDefault="000149DF">
      <w:pPr>
        <w:spacing w:after="0"/>
      </w:pPr>
    </w:p>
    <w:p w14:paraId="0837E573" w14:textId="77777777" w:rsidR="000149DF" w:rsidRDefault="00000000">
      <w:r>
        <w:t>Smanjenje u odnosu na prethodnu godinu odnosi se na manje uplaćenu dobit iz 2024 godine u odnosu na dobit iz 2023. godine Zračne luke Ruđer Bošković - Dubrovnik</w:t>
      </w:r>
    </w:p>
    <w:p w14:paraId="636A2725" w14:textId="77777777" w:rsidR="000149DF" w:rsidRDefault="000149DF"/>
    <w:p w14:paraId="7A6CA362" w14:textId="77777777" w:rsidR="000149DF" w:rsidRDefault="00000000">
      <w:pPr>
        <w:keepNext/>
        <w:spacing w:line="240" w:lineRule="auto"/>
        <w:jc w:val="center"/>
      </w:pPr>
      <w:r>
        <w:rPr>
          <w:sz w:val="28"/>
        </w:rPr>
        <w:t>Bilješka 19.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3D98CBE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4C4EADA"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172779A"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F631096"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6800277"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7EB6881"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D151A25" w14:textId="77777777" w:rsidR="000149DF" w:rsidRDefault="00000000">
            <w:pPr>
              <w:keepNext/>
              <w:keepLines/>
              <w:spacing w:after="0" w:line="240" w:lineRule="auto"/>
              <w:jc w:val="center"/>
            </w:pPr>
            <w:r>
              <w:rPr>
                <w:b/>
                <w:sz w:val="18"/>
              </w:rPr>
              <w:t>Indeks (%)</w:t>
            </w:r>
          </w:p>
        </w:tc>
      </w:tr>
      <w:tr w:rsidR="000149DF" w14:paraId="2C9A6200" w14:textId="77777777">
        <w:tblPrEx>
          <w:tblCellMar>
            <w:top w:w="0" w:type="dxa"/>
            <w:bottom w:w="0" w:type="dxa"/>
          </w:tblCellMar>
        </w:tblPrEx>
        <w:trPr>
          <w:cantSplit/>
          <w:trHeight w:val="560"/>
        </w:trPr>
        <w:tc>
          <w:tcPr>
            <w:tcW w:w="700" w:type="dxa"/>
            <w:tcMar>
              <w:top w:w="0" w:type="dxa"/>
              <w:bottom w:w="0" w:type="dxa"/>
            </w:tcMar>
            <w:vAlign w:val="center"/>
          </w:tcPr>
          <w:p w14:paraId="29D2CA7D" w14:textId="77777777" w:rsidR="000149DF" w:rsidRDefault="00000000">
            <w:pPr>
              <w:keepNext/>
              <w:keepLines/>
              <w:spacing w:after="0" w:line="240" w:lineRule="auto"/>
            </w:pPr>
            <w:r>
              <w:rPr>
                <w:sz w:val="18"/>
              </w:rPr>
              <w:t>642</w:t>
            </w:r>
          </w:p>
        </w:tc>
        <w:tc>
          <w:tcPr>
            <w:tcW w:w="3180" w:type="dxa"/>
            <w:tcMar>
              <w:top w:w="0" w:type="dxa"/>
              <w:bottom w:w="0" w:type="dxa"/>
            </w:tcMar>
            <w:vAlign w:val="center"/>
          </w:tcPr>
          <w:p w14:paraId="16AEDD07" w14:textId="77777777" w:rsidR="000149DF" w:rsidRDefault="00000000">
            <w:pPr>
              <w:keepNext/>
              <w:keepLines/>
              <w:spacing w:after="0" w:line="240" w:lineRule="auto"/>
            </w:pPr>
            <w:r>
              <w:rPr>
                <w:sz w:val="18"/>
              </w:rPr>
              <w:t>Prihodi od nefinancijske imovine (šifre 6421 do 6429)</w:t>
            </w:r>
          </w:p>
        </w:tc>
        <w:tc>
          <w:tcPr>
            <w:tcW w:w="700" w:type="dxa"/>
            <w:tcMar>
              <w:top w:w="0" w:type="dxa"/>
              <w:bottom w:w="0" w:type="dxa"/>
            </w:tcMar>
            <w:vAlign w:val="center"/>
          </w:tcPr>
          <w:p w14:paraId="4D62112F" w14:textId="77777777" w:rsidR="000149DF" w:rsidRDefault="00000000">
            <w:pPr>
              <w:keepNext/>
              <w:keepLines/>
              <w:spacing w:after="0" w:line="240" w:lineRule="auto"/>
            </w:pPr>
            <w:r>
              <w:rPr>
                <w:sz w:val="18"/>
              </w:rPr>
              <w:t>642</w:t>
            </w:r>
          </w:p>
        </w:tc>
        <w:tc>
          <w:tcPr>
            <w:tcW w:w="1860" w:type="dxa"/>
            <w:tcMar>
              <w:top w:w="0" w:type="dxa"/>
              <w:bottom w:w="0" w:type="dxa"/>
            </w:tcMar>
            <w:vAlign w:val="center"/>
          </w:tcPr>
          <w:p w14:paraId="463A2864" w14:textId="77777777" w:rsidR="000149DF" w:rsidRDefault="00000000">
            <w:pPr>
              <w:keepNext/>
              <w:keepLines/>
              <w:spacing w:after="0" w:line="240" w:lineRule="auto"/>
              <w:jc w:val="right"/>
            </w:pPr>
            <w:r>
              <w:rPr>
                <w:sz w:val="18"/>
              </w:rPr>
              <w:t>2.412.641,01</w:t>
            </w:r>
          </w:p>
        </w:tc>
        <w:tc>
          <w:tcPr>
            <w:tcW w:w="1860" w:type="dxa"/>
            <w:tcMar>
              <w:top w:w="0" w:type="dxa"/>
              <w:bottom w:w="0" w:type="dxa"/>
            </w:tcMar>
            <w:vAlign w:val="center"/>
          </w:tcPr>
          <w:p w14:paraId="402C68E2" w14:textId="77777777" w:rsidR="000149DF" w:rsidRDefault="00000000">
            <w:pPr>
              <w:keepNext/>
              <w:keepLines/>
              <w:spacing w:after="0" w:line="240" w:lineRule="auto"/>
              <w:jc w:val="right"/>
            </w:pPr>
            <w:r>
              <w:rPr>
                <w:sz w:val="18"/>
              </w:rPr>
              <w:t>2.509.274,98</w:t>
            </w:r>
          </w:p>
        </w:tc>
        <w:tc>
          <w:tcPr>
            <w:tcW w:w="700" w:type="dxa"/>
            <w:tcMar>
              <w:top w:w="0" w:type="dxa"/>
              <w:bottom w:w="0" w:type="dxa"/>
            </w:tcMar>
            <w:vAlign w:val="center"/>
          </w:tcPr>
          <w:p w14:paraId="02C076CE" w14:textId="77777777" w:rsidR="000149DF" w:rsidRDefault="00000000">
            <w:pPr>
              <w:keepNext/>
              <w:keepLines/>
              <w:spacing w:after="0" w:line="240" w:lineRule="auto"/>
              <w:jc w:val="right"/>
            </w:pPr>
            <w:r>
              <w:rPr>
                <w:sz w:val="18"/>
              </w:rPr>
              <w:t>104,0</w:t>
            </w:r>
          </w:p>
        </w:tc>
      </w:tr>
    </w:tbl>
    <w:p w14:paraId="39AE7770" w14:textId="77777777" w:rsidR="000149DF" w:rsidRDefault="000149DF">
      <w:pPr>
        <w:spacing w:after="0"/>
      </w:pPr>
    </w:p>
    <w:p w14:paraId="7528E192" w14:textId="77777777" w:rsidR="000149DF" w:rsidRDefault="00000000">
      <w:r>
        <w:t>Prihodi od nefinancijske imovine ostvareni su 4% više u odnosu na prethodnu godinu, a odnose se na koncesije na  pomorskom dobru, naknadu za upotrebu pomorskog dobra, naknadu za koncesije za obavljanje javne zdravstvene službe, zakup poljoprivrednog zemljišta, zakup turističkog zemljišta na kojem su izgrađeni kampovi, hoteli i turistička naselja,  naknada za eksploataciju mineralnih sirovina, lovozakupninu, naknade za legalizaciju bespravno izgrađenih objekata i promjenu namjene poljoprivrednog zemljišta i ostale naknade za korištenje nefinancijske imovine. Povećanje na naknadama za korištenje nefinancijske imovine dijelom se odnosi i na uplatu novog prihoda temeljem prenesenih poslova vezanih za raspolaganje državnom imovinom.</w:t>
      </w:r>
    </w:p>
    <w:p w14:paraId="3C628EBB" w14:textId="77777777" w:rsidR="000149DF" w:rsidRDefault="000149DF"/>
    <w:p w14:paraId="2C0A7CF8" w14:textId="77777777" w:rsidR="000149DF" w:rsidRDefault="00000000">
      <w:pPr>
        <w:keepNext/>
        <w:spacing w:line="240" w:lineRule="auto"/>
        <w:jc w:val="center"/>
      </w:pPr>
      <w:r>
        <w:rPr>
          <w:sz w:val="28"/>
        </w:rPr>
        <w:t>Bilješka 20.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5E4E130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968F230"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A1FE8D7"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5344BEE"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251E2C4"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A757C67"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832575C" w14:textId="77777777" w:rsidR="000149DF" w:rsidRDefault="00000000">
            <w:pPr>
              <w:keepNext/>
              <w:keepLines/>
              <w:spacing w:after="0" w:line="240" w:lineRule="auto"/>
              <w:jc w:val="center"/>
            </w:pPr>
            <w:r>
              <w:rPr>
                <w:b/>
                <w:sz w:val="18"/>
              </w:rPr>
              <w:t>Indeks (%)</w:t>
            </w:r>
          </w:p>
        </w:tc>
      </w:tr>
      <w:tr w:rsidR="000149DF" w14:paraId="69BD3545" w14:textId="77777777">
        <w:tblPrEx>
          <w:tblCellMar>
            <w:top w:w="0" w:type="dxa"/>
            <w:bottom w:w="0" w:type="dxa"/>
          </w:tblCellMar>
        </w:tblPrEx>
        <w:trPr>
          <w:cantSplit/>
          <w:trHeight w:val="560"/>
        </w:trPr>
        <w:tc>
          <w:tcPr>
            <w:tcW w:w="700" w:type="dxa"/>
            <w:tcMar>
              <w:top w:w="0" w:type="dxa"/>
              <w:bottom w:w="0" w:type="dxa"/>
            </w:tcMar>
            <w:vAlign w:val="center"/>
          </w:tcPr>
          <w:p w14:paraId="743CCCA1" w14:textId="77777777" w:rsidR="000149DF" w:rsidRDefault="00000000">
            <w:pPr>
              <w:keepNext/>
              <w:keepLines/>
              <w:spacing w:after="0" w:line="240" w:lineRule="auto"/>
            </w:pPr>
            <w:r>
              <w:rPr>
                <w:sz w:val="18"/>
              </w:rPr>
              <w:t>65</w:t>
            </w:r>
          </w:p>
        </w:tc>
        <w:tc>
          <w:tcPr>
            <w:tcW w:w="3180" w:type="dxa"/>
            <w:tcMar>
              <w:top w:w="0" w:type="dxa"/>
              <w:bottom w:w="0" w:type="dxa"/>
            </w:tcMar>
            <w:vAlign w:val="center"/>
          </w:tcPr>
          <w:p w14:paraId="5B833B91" w14:textId="77777777" w:rsidR="000149DF" w:rsidRDefault="00000000">
            <w:pPr>
              <w:keepNext/>
              <w:keepLines/>
              <w:spacing w:after="0" w:line="240" w:lineRule="auto"/>
            </w:pPr>
            <w:r>
              <w:rPr>
                <w:sz w:val="18"/>
              </w:rPr>
              <w:t>Prihodi od upravnih i administrativnih pristojbi, pristojbi po posebnim propisima i naknada (šifre 651+652+653+654)</w:t>
            </w:r>
          </w:p>
        </w:tc>
        <w:tc>
          <w:tcPr>
            <w:tcW w:w="700" w:type="dxa"/>
            <w:tcMar>
              <w:top w:w="0" w:type="dxa"/>
              <w:bottom w:w="0" w:type="dxa"/>
            </w:tcMar>
            <w:vAlign w:val="center"/>
          </w:tcPr>
          <w:p w14:paraId="549105E9" w14:textId="77777777" w:rsidR="000149DF" w:rsidRDefault="00000000">
            <w:pPr>
              <w:keepNext/>
              <w:keepLines/>
              <w:spacing w:after="0" w:line="240" w:lineRule="auto"/>
            </w:pPr>
            <w:r>
              <w:rPr>
                <w:sz w:val="18"/>
              </w:rPr>
              <w:t>65</w:t>
            </w:r>
          </w:p>
        </w:tc>
        <w:tc>
          <w:tcPr>
            <w:tcW w:w="1860" w:type="dxa"/>
            <w:tcMar>
              <w:top w:w="0" w:type="dxa"/>
              <w:bottom w:w="0" w:type="dxa"/>
            </w:tcMar>
            <w:vAlign w:val="center"/>
          </w:tcPr>
          <w:p w14:paraId="5A9CAC7C" w14:textId="77777777" w:rsidR="000149DF" w:rsidRDefault="00000000">
            <w:pPr>
              <w:keepNext/>
              <w:keepLines/>
              <w:spacing w:after="0" w:line="240" w:lineRule="auto"/>
              <w:jc w:val="right"/>
            </w:pPr>
            <w:r>
              <w:rPr>
                <w:sz w:val="18"/>
              </w:rPr>
              <w:t>818.500,41</w:t>
            </w:r>
          </w:p>
        </w:tc>
        <w:tc>
          <w:tcPr>
            <w:tcW w:w="1860" w:type="dxa"/>
            <w:tcMar>
              <w:top w:w="0" w:type="dxa"/>
              <w:bottom w:w="0" w:type="dxa"/>
            </w:tcMar>
            <w:vAlign w:val="center"/>
          </w:tcPr>
          <w:p w14:paraId="47920004" w14:textId="77777777" w:rsidR="000149DF" w:rsidRDefault="00000000">
            <w:pPr>
              <w:keepNext/>
              <w:keepLines/>
              <w:spacing w:after="0" w:line="240" w:lineRule="auto"/>
              <w:jc w:val="right"/>
            </w:pPr>
            <w:r>
              <w:rPr>
                <w:sz w:val="18"/>
              </w:rPr>
              <w:t>1.496.495,96</w:t>
            </w:r>
          </w:p>
        </w:tc>
        <w:tc>
          <w:tcPr>
            <w:tcW w:w="700" w:type="dxa"/>
            <w:tcMar>
              <w:top w:w="0" w:type="dxa"/>
              <w:bottom w:w="0" w:type="dxa"/>
            </w:tcMar>
            <w:vAlign w:val="center"/>
          </w:tcPr>
          <w:p w14:paraId="471773AB" w14:textId="77777777" w:rsidR="000149DF" w:rsidRDefault="00000000">
            <w:pPr>
              <w:keepNext/>
              <w:keepLines/>
              <w:spacing w:after="0" w:line="240" w:lineRule="auto"/>
              <w:jc w:val="right"/>
            </w:pPr>
            <w:r>
              <w:rPr>
                <w:sz w:val="18"/>
              </w:rPr>
              <w:t>182,8</w:t>
            </w:r>
          </w:p>
        </w:tc>
      </w:tr>
    </w:tbl>
    <w:p w14:paraId="1AB18337" w14:textId="77777777" w:rsidR="000149DF" w:rsidRDefault="000149DF">
      <w:pPr>
        <w:spacing w:after="0"/>
      </w:pPr>
    </w:p>
    <w:p w14:paraId="2703A515" w14:textId="77777777" w:rsidR="000149DF" w:rsidRDefault="00000000">
      <w:r>
        <w:t>Prihodi od upravnih i administrativnih pristojbi, pristojbi po posebnim propisima i naknada ostvareni su s indeksom od 182,8 % u odnosu na prethodnu godinu i odnose se na županijske upravne pristojbe i naknade, prihode od prodaje državnih biljega, turističke pristojbe, prihode s naslova osiguranja, refundacije štete i totalne štete i ostalih prihoda koji se odnose na provođenje postupka vještačenja, izvlaštenja i sklapanja braka izvan službenih prostorija. Dok je na većini odj. zabilježeno smanjenje prihoda, na  ostali nespomenuti prihodi  imamo indeks  od 263,9% u odnosu na prethodnu godinu, a odnosi se na uplatu prihoda za provođenje postupka vještačenja.</w:t>
      </w:r>
    </w:p>
    <w:p w14:paraId="51E0D0C6" w14:textId="77777777" w:rsidR="000149DF" w:rsidRDefault="000149DF"/>
    <w:p w14:paraId="38B613F9" w14:textId="77777777" w:rsidR="000149DF" w:rsidRDefault="00000000">
      <w:pPr>
        <w:keepNext/>
        <w:spacing w:line="240" w:lineRule="auto"/>
        <w:jc w:val="center"/>
      </w:pPr>
      <w:r>
        <w:rPr>
          <w:sz w:val="28"/>
        </w:rPr>
        <w:t>Bilješka 21.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79F8B6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C28FB58"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B3F282D"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0F50B96"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3CA26AD"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D3A82A2"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8B234C6" w14:textId="77777777" w:rsidR="000149DF" w:rsidRDefault="00000000">
            <w:pPr>
              <w:keepNext/>
              <w:keepLines/>
              <w:spacing w:after="0" w:line="240" w:lineRule="auto"/>
              <w:jc w:val="center"/>
            </w:pPr>
            <w:r>
              <w:rPr>
                <w:b/>
                <w:sz w:val="18"/>
              </w:rPr>
              <w:t>Indeks (%)</w:t>
            </w:r>
          </w:p>
        </w:tc>
      </w:tr>
      <w:tr w:rsidR="000149DF" w14:paraId="11A5F00B" w14:textId="77777777">
        <w:tblPrEx>
          <w:tblCellMar>
            <w:top w:w="0" w:type="dxa"/>
            <w:bottom w:w="0" w:type="dxa"/>
          </w:tblCellMar>
        </w:tblPrEx>
        <w:trPr>
          <w:cantSplit/>
          <w:trHeight w:val="560"/>
        </w:trPr>
        <w:tc>
          <w:tcPr>
            <w:tcW w:w="700" w:type="dxa"/>
            <w:tcMar>
              <w:top w:w="0" w:type="dxa"/>
              <w:bottom w:w="0" w:type="dxa"/>
            </w:tcMar>
            <w:vAlign w:val="center"/>
          </w:tcPr>
          <w:p w14:paraId="5EB4222B" w14:textId="77777777" w:rsidR="000149DF" w:rsidRDefault="00000000">
            <w:pPr>
              <w:keepNext/>
              <w:keepLines/>
              <w:spacing w:after="0" w:line="240" w:lineRule="auto"/>
            </w:pPr>
            <w:r>
              <w:rPr>
                <w:sz w:val="18"/>
              </w:rPr>
              <w:t>663</w:t>
            </w:r>
          </w:p>
        </w:tc>
        <w:tc>
          <w:tcPr>
            <w:tcW w:w="3180" w:type="dxa"/>
            <w:tcMar>
              <w:top w:w="0" w:type="dxa"/>
              <w:bottom w:w="0" w:type="dxa"/>
            </w:tcMar>
            <w:vAlign w:val="center"/>
          </w:tcPr>
          <w:p w14:paraId="3F8FC275" w14:textId="77777777" w:rsidR="000149DF" w:rsidRDefault="00000000">
            <w:pPr>
              <w:keepNext/>
              <w:keepLines/>
              <w:spacing w:after="0" w:line="240" w:lineRule="auto"/>
            </w:pPr>
            <w:r>
              <w:rPr>
                <w:sz w:val="18"/>
              </w:rPr>
              <w:t>Donacije od pravnih i fizičkih osoba izvan općeg proračuna te povrat donacija i kapitalnih pomoći po protestiranim jamstvima (šifre 6631 do 6634)</w:t>
            </w:r>
          </w:p>
        </w:tc>
        <w:tc>
          <w:tcPr>
            <w:tcW w:w="700" w:type="dxa"/>
            <w:tcMar>
              <w:top w:w="0" w:type="dxa"/>
              <w:bottom w:w="0" w:type="dxa"/>
            </w:tcMar>
            <w:vAlign w:val="center"/>
          </w:tcPr>
          <w:p w14:paraId="0923DF7E" w14:textId="77777777" w:rsidR="000149DF" w:rsidRDefault="00000000">
            <w:pPr>
              <w:keepNext/>
              <w:keepLines/>
              <w:spacing w:after="0" w:line="240" w:lineRule="auto"/>
            </w:pPr>
            <w:r>
              <w:rPr>
                <w:sz w:val="18"/>
              </w:rPr>
              <w:t>663</w:t>
            </w:r>
          </w:p>
        </w:tc>
        <w:tc>
          <w:tcPr>
            <w:tcW w:w="1860" w:type="dxa"/>
            <w:tcMar>
              <w:top w:w="0" w:type="dxa"/>
              <w:bottom w:w="0" w:type="dxa"/>
            </w:tcMar>
            <w:vAlign w:val="center"/>
          </w:tcPr>
          <w:p w14:paraId="4041A836" w14:textId="77777777" w:rsidR="000149DF" w:rsidRDefault="00000000">
            <w:pPr>
              <w:keepNext/>
              <w:keepLines/>
              <w:spacing w:after="0" w:line="240" w:lineRule="auto"/>
              <w:jc w:val="right"/>
            </w:pPr>
            <w:r>
              <w:rPr>
                <w:sz w:val="18"/>
              </w:rPr>
              <w:t>4.081,93</w:t>
            </w:r>
          </w:p>
        </w:tc>
        <w:tc>
          <w:tcPr>
            <w:tcW w:w="1860" w:type="dxa"/>
            <w:tcMar>
              <w:top w:w="0" w:type="dxa"/>
              <w:bottom w:w="0" w:type="dxa"/>
            </w:tcMar>
            <w:vAlign w:val="center"/>
          </w:tcPr>
          <w:p w14:paraId="31DEE560" w14:textId="77777777" w:rsidR="000149DF" w:rsidRDefault="00000000">
            <w:pPr>
              <w:keepNext/>
              <w:keepLines/>
              <w:spacing w:after="0" w:line="240" w:lineRule="auto"/>
              <w:jc w:val="right"/>
            </w:pPr>
            <w:r>
              <w:rPr>
                <w:sz w:val="18"/>
              </w:rPr>
              <w:t>4.222,09</w:t>
            </w:r>
          </w:p>
        </w:tc>
        <w:tc>
          <w:tcPr>
            <w:tcW w:w="700" w:type="dxa"/>
            <w:tcMar>
              <w:top w:w="0" w:type="dxa"/>
              <w:bottom w:w="0" w:type="dxa"/>
            </w:tcMar>
            <w:vAlign w:val="center"/>
          </w:tcPr>
          <w:p w14:paraId="4F1271D6" w14:textId="77777777" w:rsidR="000149DF" w:rsidRDefault="00000000">
            <w:pPr>
              <w:keepNext/>
              <w:keepLines/>
              <w:spacing w:after="0" w:line="240" w:lineRule="auto"/>
              <w:jc w:val="right"/>
            </w:pPr>
            <w:r>
              <w:rPr>
                <w:sz w:val="18"/>
              </w:rPr>
              <w:t>103,4</w:t>
            </w:r>
          </w:p>
        </w:tc>
      </w:tr>
    </w:tbl>
    <w:p w14:paraId="25F68C8C" w14:textId="77777777" w:rsidR="000149DF" w:rsidRDefault="000149DF">
      <w:pPr>
        <w:spacing w:after="0"/>
      </w:pPr>
    </w:p>
    <w:p w14:paraId="7E7A9353" w14:textId="77777777" w:rsidR="000149DF" w:rsidRDefault="00000000">
      <w:r>
        <w:t>Donacije od pravnih i fizičkih osoba izvan općeg proračuna i povrat donacija po protestiranim jamstvima - ostvarena je donacija od TOMMY d.o.o. u iznosu od 4.222,09  €, a odnosi se na popust za kupnju bonova za djelatnike Županije povodom Božićnih blagdana.</w:t>
      </w:r>
    </w:p>
    <w:p w14:paraId="3F72C765" w14:textId="77777777" w:rsidR="000149DF" w:rsidRDefault="000149DF"/>
    <w:p w14:paraId="31584B6E" w14:textId="77777777" w:rsidR="000149DF" w:rsidRDefault="00000000">
      <w:pPr>
        <w:keepNext/>
        <w:spacing w:line="240" w:lineRule="auto"/>
        <w:jc w:val="center"/>
      </w:pPr>
      <w:r>
        <w:rPr>
          <w:sz w:val="28"/>
        </w:rPr>
        <w:t>Bilješka 22.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F70239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352775B"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DB9A0F9"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5612BCD"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BDA2BEB"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BD3A50C"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16F8C8F" w14:textId="77777777" w:rsidR="000149DF" w:rsidRDefault="00000000">
            <w:pPr>
              <w:keepNext/>
              <w:keepLines/>
              <w:spacing w:after="0" w:line="240" w:lineRule="auto"/>
              <w:jc w:val="center"/>
            </w:pPr>
            <w:r>
              <w:rPr>
                <w:b/>
                <w:sz w:val="18"/>
              </w:rPr>
              <w:t>Indeks (%)</w:t>
            </w:r>
          </w:p>
        </w:tc>
      </w:tr>
      <w:tr w:rsidR="000149DF" w14:paraId="45FE4F85" w14:textId="77777777">
        <w:tblPrEx>
          <w:tblCellMar>
            <w:top w:w="0" w:type="dxa"/>
            <w:bottom w:w="0" w:type="dxa"/>
          </w:tblCellMar>
        </w:tblPrEx>
        <w:trPr>
          <w:cantSplit/>
          <w:trHeight w:val="560"/>
        </w:trPr>
        <w:tc>
          <w:tcPr>
            <w:tcW w:w="700" w:type="dxa"/>
            <w:tcMar>
              <w:top w:w="0" w:type="dxa"/>
              <w:bottom w:w="0" w:type="dxa"/>
            </w:tcMar>
            <w:vAlign w:val="center"/>
          </w:tcPr>
          <w:p w14:paraId="3C112E71" w14:textId="77777777" w:rsidR="000149DF" w:rsidRDefault="00000000">
            <w:pPr>
              <w:keepNext/>
              <w:keepLines/>
              <w:spacing w:after="0" w:line="240" w:lineRule="auto"/>
            </w:pPr>
            <w:r>
              <w:rPr>
                <w:sz w:val="18"/>
              </w:rPr>
              <w:t>683</w:t>
            </w:r>
          </w:p>
        </w:tc>
        <w:tc>
          <w:tcPr>
            <w:tcW w:w="3180" w:type="dxa"/>
            <w:tcMar>
              <w:top w:w="0" w:type="dxa"/>
              <w:bottom w:w="0" w:type="dxa"/>
            </w:tcMar>
            <w:vAlign w:val="center"/>
          </w:tcPr>
          <w:p w14:paraId="7A2F8AE0" w14:textId="77777777" w:rsidR="000149DF" w:rsidRDefault="00000000">
            <w:pPr>
              <w:keepNext/>
              <w:keepLines/>
              <w:spacing w:after="0" w:line="240" w:lineRule="auto"/>
            </w:pPr>
            <w:r>
              <w:rPr>
                <w:sz w:val="18"/>
              </w:rPr>
              <w:t>Ostali prihodi</w:t>
            </w:r>
          </w:p>
        </w:tc>
        <w:tc>
          <w:tcPr>
            <w:tcW w:w="700" w:type="dxa"/>
            <w:tcMar>
              <w:top w:w="0" w:type="dxa"/>
              <w:bottom w:w="0" w:type="dxa"/>
            </w:tcMar>
            <w:vAlign w:val="center"/>
          </w:tcPr>
          <w:p w14:paraId="0CEFADD0" w14:textId="77777777" w:rsidR="000149DF" w:rsidRDefault="00000000">
            <w:pPr>
              <w:keepNext/>
              <w:keepLines/>
              <w:spacing w:after="0" w:line="240" w:lineRule="auto"/>
            </w:pPr>
            <w:r>
              <w:rPr>
                <w:sz w:val="18"/>
              </w:rPr>
              <w:t>683</w:t>
            </w:r>
          </w:p>
        </w:tc>
        <w:tc>
          <w:tcPr>
            <w:tcW w:w="1860" w:type="dxa"/>
            <w:tcMar>
              <w:top w:w="0" w:type="dxa"/>
              <w:bottom w:w="0" w:type="dxa"/>
            </w:tcMar>
            <w:vAlign w:val="center"/>
          </w:tcPr>
          <w:p w14:paraId="61EBB08B" w14:textId="77777777" w:rsidR="000149DF" w:rsidRDefault="00000000">
            <w:pPr>
              <w:keepNext/>
              <w:keepLines/>
              <w:spacing w:after="0" w:line="240" w:lineRule="auto"/>
              <w:jc w:val="right"/>
            </w:pPr>
            <w:r>
              <w:rPr>
                <w:sz w:val="18"/>
              </w:rPr>
              <w:t>32.412,05</w:t>
            </w:r>
          </w:p>
        </w:tc>
        <w:tc>
          <w:tcPr>
            <w:tcW w:w="1860" w:type="dxa"/>
            <w:tcMar>
              <w:top w:w="0" w:type="dxa"/>
              <w:bottom w:w="0" w:type="dxa"/>
            </w:tcMar>
            <w:vAlign w:val="center"/>
          </w:tcPr>
          <w:p w14:paraId="29E0B63D" w14:textId="77777777" w:rsidR="000149DF" w:rsidRDefault="00000000">
            <w:pPr>
              <w:keepNext/>
              <w:keepLines/>
              <w:spacing w:after="0" w:line="240" w:lineRule="auto"/>
              <w:jc w:val="right"/>
            </w:pPr>
            <w:r>
              <w:rPr>
                <w:sz w:val="18"/>
              </w:rPr>
              <w:t>36.330,90</w:t>
            </w:r>
          </w:p>
        </w:tc>
        <w:tc>
          <w:tcPr>
            <w:tcW w:w="700" w:type="dxa"/>
            <w:tcMar>
              <w:top w:w="0" w:type="dxa"/>
              <w:bottom w:w="0" w:type="dxa"/>
            </w:tcMar>
            <w:vAlign w:val="center"/>
          </w:tcPr>
          <w:p w14:paraId="2CBC11A9" w14:textId="77777777" w:rsidR="000149DF" w:rsidRDefault="00000000">
            <w:pPr>
              <w:keepNext/>
              <w:keepLines/>
              <w:spacing w:after="0" w:line="240" w:lineRule="auto"/>
              <w:jc w:val="right"/>
            </w:pPr>
            <w:r>
              <w:rPr>
                <w:sz w:val="18"/>
              </w:rPr>
              <w:t>112,1</w:t>
            </w:r>
          </w:p>
        </w:tc>
      </w:tr>
    </w:tbl>
    <w:p w14:paraId="483D73F6" w14:textId="77777777" w:rsidR="000149DF" w:rsidRDefault="000149DF">
      <w:pPr>
        <w:spacing w:after="0"/>
      </w:pPr>
    </w:p>
    <w:p w14:paraId="78968B9E" w14:textId="77777777" w:rsidR="000149DF" w:rsidRDefault="00000000">
      <w:r>
        <w:t>Ostali prihodi ostvareni su 12,1% više u odnosu na prethodno razdoblje i odnose se na povrat sredstava za umirovljenički standard koja nisu dostavljena korisnicima putem pošte, na povrate sredstava koje udruge nisu iskoristile po prijavljenim programima iz 2024. godine i na uplate za troškove procjembenog elaborata</w:t>
      </w:r>
    </w:p>
    <w:p w14:paraId="427711C7" w14:textId="77777777" w:rsidR="000149DF" w:rsidRDefault="000149DF"/>
    <w:p w14:paraId="6CF1CFFD" w14:textId="77777777" w:rsidR="000149DF" w:rsidRDefault="00000000">
      <w:pPr>
        <w:keepNext/>
        <w:spacing w:line="240" w:lineRule="auto"/>
        <w:jc w:val="center"/>
      </w:pPr>
      <w:r>
        <w:rPr>
          <w:sz w:val="28"/>
        </w:rPr>
        <w:t>Bilješka 23.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2950129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3C50ECE"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9D5ABE9"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530D086"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CBC9E71"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B170EE6"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EA349BA" w14:textId="77777777" w:rsidR="000149DF" w:rsidRDefault="00000000">
            <w:pPr>
              <w:keepNext/>
              <w:keepLines/>
              <w:spacing w:after="0" w:line="240" w:lineRule="auto"/>
              <w:jc w:val="center"/>
            </w:pPr>
            <w:r>
              <w:rPr>
                <w:b/>
                <w:sz w:val="18"/>
              </w:rPr>
              <w:t>Indeks (%)</w:t>
            </w:r>
          </w:p>
        </w:tc>
      </w:tr>
      <w:tr w:rsidR="000149DF" w14:paraId="7F758B00" w14:textId="77777777">
        <w:tblPrEx>
          <w:tblCellMar>
            <w:top w:w="0" w:type="dxa"/>
            <w:bottom w:w="0" w:type="dxa"/>
          </w:tblCellMar>
        </w:tblPrEx>
        <w:trPr>
          <w:cantSplit/>
          <w:trHeight w:val="560"/>
        </w:trPr>
        <w:tc>
          <w:tcPr>
            <w:tcW w:w="700" w:type="dxa"/>
            <w:tcMar>
              <w:top w:w="0" w:type="dxa"/>
              <w:bottom w:w="0" w:type="dxa"/>
            </w:tcMar>
            <w:vAlign w:val="center"/>
          </w:tcPr>
          <w:p w14:paraId="7FE57F78" w14:textId="77777777" w:rsidR="000149DF" w:rsidRDefault="00000000">
            <w:pPr>
              <w:keepNext/>
              <w:keepLines/>
              <w:spacing w:after="0" w:line="240" w:lineRule="auto"/>
            </w:pPr>
            <w:r>
              <w:rPr>
                <w:sz w:val="18"/>
              </w:rPr>
              <w:t>31</w:t>
            </w:r>
          </w:p>
        </w:tc>
        <w:tc>
          <w:tcPr>
            <w:tcW w:w="3180" w:type="dxa"/>
            <w:tcMar>
              <w:top w:w="0" w:type="dxa"/>
              <w:bottom w:w="0" w:type="dxa"/>
            </w:tcMar>
            <w:vAlign w:val="center"/>
          </w:tcPr>
          <w:p w14:paraId="22581848" w14:textId="77777777" w:rsidR="000149DF" w:rsidRDefault="00000000">
            <w:pPr>
              <w:keepNext/>
              <w:keepLines/>
              <w:spacing w:after="0" w:line="240" w:lineRule="auto"/>
            </w:pPr>
            <w:r>
              <w:rPr>
                <w:sz w:val="18"/>
              </w:rPr>
              <w:t>Rashodi za zaposlene (šifre 311+312+313)</w:t>
            </w:r>
          </w:p>
        </w:tc>
        <w:tc>
          <w:tcPr>
            <w:tcW w:w="700" w:type="dxa"/>
            <w:tcMar>
              <w:top w:w="0" w:type="dxa"/>
              <w:bottom w:w="0" w:type="dxa"/>
            </w:tcMar>
            <w:vAlign w:val="center"/>
          </w:tcPr>
          <w:p w14:paraId="28A83509" w14:textId="77777777" w:rsidR="000149DF" w:rsidRDefault="00000000">
            <w:pPr>
              <w:keepNext/>
              <w:keepLines/>
              <w:spacing w:after="0" w:line="240" w:lineRule="auto"/>
            </w:pPr>
            <w:r>
              <w:rPr>
                <w:sz w:val="18"/>
              </w:rPr>
              <w:t>31</w:t>
            </w:r>
          </w:p>
        </w:tc>
        <w:tc>
          <w:tcPr>
            <w:tcW w:w="1860" w:type="dxa"/>
            <w:tcMar>
              <w:top w:w="0" w:type="dxa"/>
              <w:bottom w:w="0" w:type="dxa"/>
            </w:tcMar>
            <w:vAlign w:val="center"/>
          </w:tcPr>
          <w:p w14:paraId="58075A8F" w14:textId="77777777" w:rsidR="000149DF" w:rsidRDefault="00000000">
            <w:pPr>
              <w:keepNext/>
              <w:keepLines/>
              <w:spacing w:after="0" w:line="240" w:lineRule="auto"/>
              <w:jc w:val="right"/>
            </w:pPr>
            <w:r>
              <w:rPr>
                <w:sz w:val="18"/>
              </w:rPr>
              <w:t>6.440.441,75</w:t>
            </w:r>
          </w:p>
        </w:tc>
        <w:tc>
          <w:tcPr>
            <w:tcW w:w="1860" w:type="dxa"/>
            <w:tcMar>
              <w:top w:w="0" w:type="dxa"/>
              <w:bottom w:w="0" w:type="dxa"/>
            </w:tcMar>
            <w:vAlign w:val="center"/>
          </w:tcPr>
          <w:p w14:paraId="2D29F3F2" w14:textId="77777777" w:rsidR="000149DF" w:rsidRDefault="00000000">
            <w:pPr>
              <w:keepNext/>
              <w:keepLines/>
              <w:spacing w:after="0" w:line="240" w:lineRule="auto"/>
              <w:jc w:val="right"/>
            </w:pPr>
            <w:r>
              <w:rPr>
                <w:sz w:val="18"/>
              </w:rPr>
              <w:t>7.851.326,49</w:t>
            </w:r>
          </w:p>
        </w:tc>
        <w:tc>
          <w:tcPr>
            <w:tcW w:w="700" w:type="dxa"/>
            <w:tcMar>
              <w:top w:w="0" w:type="dxa"/>
              <w:bottom w:w="0" w:type="dxa"/>
            </w:tcMar>
            <w:vAlign w:val="center"/>
          </w:tcPr>
          <w:p w14:paraId="3D805624" w14:textId="77777777" w:rsidR="000149DF" w:rsidRDefault="00000000">
            <w:pPr>
              <w:keepNext/>
              <w:keepLines/>
              <w:spacing w:after="0" w:line="240" w:lineRule="auto"/>
              <w:jc w:val="right"/>
            </w:pPr>
            <w:r>
              <w:rPr>
                <w:sz w:val="18"/>
              </w:rPr>
              <w:t>121,9</w:t>
            </w:r>
          </w:p>
        </w:tc>
      </w:tr>
    </w:tbl>
    <w:p w14:paraId="5B627CBA" w14:textId="77777777" w:rsidR="000149DF" w:rsidRDefault="000149DF">
      <w:pPr>
        <w:spacing w:after="0"/>
      </w:pPr>
    </w:p>
    <w:p w14:paraId="6C57E3FA" w14:textId="77777777" w:rsidR="000149DF" w:rsidRDefault="00000000">
      <w:r>
        <w:t>Rashodi za zaposlene  izvršeni su za 21,9% više u odnosu na prethodnu godinu, a razlog tome najvećim dijelom je povećanje bruto osnovice za plaću, dijelom zbog povećanog broja službenika i povećanje plaća za prekovremeni rad zbog provođenja lokalnih izbora.</w:t>
      </w:r>
    </w:p>
    <w:p w14:paraId="02D1EA0E" w14:textId="77777777" w:rsidR="000149DF" w:rsidRDefault="000149DF"/>
    <w:p w14:paraId="4A0CD4DB" w14:textId="77777777" w:rsidR="000149DF" w:rsidRDefault="00000000">
      <w:pPr>
        <w:keepNext/>
        <w:spacing w:line="240" w:lineRule="auto"/>
        <w:jc w:val="center"/>
      </w:pPr>
      <w:r>
        <w:rPr>
          <w:sz w:val="28"/>
        </w:rPr>
        <w:t>Bilješka 24.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2C82890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94EB11F"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AEDE1C2"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2FA8DBD"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11C89B1"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EDB12B4"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5698791" w14:textId="77777777" w:rsidR="000149DF" w:rsidRDefault="00000000">
            <w:pPr>
              <w:keepNext/>
              <w:keepLines/>
              <w:spacing w:after="0" w:line="240" w:lineRule="auto"/>
              <w:jc w:val="center"/>
            </w:pPr>
            <w:r>
              <w:rPr>
                <w:b/>
                <w:sz w:val="18"/>
              </w:rPr>
              <w:t>Indeks (%)</w:t>
            </w:r>
          </w:p>
        </w:tc>
      </w:tr>
      <w:tr w:rsidR="000149DF" w14:paraId="3F825A4E" w14:textId="77777777">
        <w:tblPrEx>
          <w:tblCellMar>
            <w:top w:w="0" w:type="dxa"/>
            <w:bottom w:w="0" w:type="dxa"/>
          </w:tblCellMar>
        </w:tblPrEx>
        <w:trPr>
          <w:cantSplit/>
          <w:trHeight w:val="560"/>
        </w:trPr>
        <w:tc>
          <w:tcPr>
            <w:tcW w:w="700" w:type="dxa"/>
            <w:tcMar>
              <w:top w:w="0" w:type="dxa"/>
              <w:bottom w:w="0" w:type="dxa"/>
            </w:tcMar>
            <w:vAlign w:val="center"/>
          </w:tcPr>
          <w:p w14:paraId="26D0036D" w14:textId="77777777" w:rsidR="000149DF" w:rsidRDefault="00000000">
            <w:pPr>
              <w:keepNext/>
              <w:keepLines/>
              <w:spacing w:after="0" w:line="240" w:lineRule="auto"/>
            </w:pPr>
            <w:r>
              <w:rPr>
                <w:sz w:val="18"/>
              </w:rPr>
              <w:t>3227</w:t>
            </w:r>
          </w:p>
        </w:tc>
        <w:tc>
          <w:tcPr>
            <w:tcW w:w="3180" w:type="dxa"/>
            <w:tcMar>
              <w:top w:w="0" w:type="dxa"/>
              <w:bottom w:w="0" w:type="dxa"/>
            </w:tcMar>
            <w:vAlign w:val="center"/>
          </w:tcPr>
          <w:p w14:paraId="15202852" w14:textId="77777777" w:rsidR="000149DF" w:rsidRDefault="00000000">
            <w:pPr>
              <w:keepNext/>
              <w:keepLines/>
              <w:spacing w:after="0" w:line="240" w:lineRule="auto"/>
            </w:pPr>
            <w:r>
              <w:rPr>
                <w:sz w:val="18"/>
              </w:rPr>
              <w:t>Službena, radna i zaštitna odjeća i obuća</w:t>
            </w:r>
          </w:p>
        </w:tc>
        <w:tc>
          <w:tcPr>
            <w:tcW w:w="700" w:type="dxa"/>
            <w:tcMar>
              <w:top w:w="0" w:type="dxa"/>
              <w:bottom w:w="0" w:type="dxa"/>
            </w:tcMar>
            <w:vAlign w:val="center"/>
          </w:tcPr>
          <w:p w14:paraId="0DB77C5A" w14:textId="77777777" w:rsidR="000149DF" w:rsidRDefault="00000000">
            <w:pPr>
              <w:keepNext/>
              <w:keepLines/>
              <w:spacing w:after="0" w:line="240" w:lineRule="auto"/>
            </w:pPr>
            <w:r>
              <w:rPr>
                <w:sz w:val="18"/>
              </w:rPr>
              <w:t>3227</w:t>
            </w:r>
          </w:p>
        </w:tc>
        <w:tc>
          <w:tcPr>
            <w:tcW w:w="1860" w:type="dxa"/>
            <w:tcMar>
              <w:top w:w="0" w:type="dxa"/>
              <w:bottom w:w="0" w:type="dxa"/>
            </w:tcMar>
            <w:vAlign w:val="center"/>
          </w:tcPr>
          <w:p w14:paraId="532A42C4" w14:textId="77777777" w:rsidR="000149DF" w:rsidRDefault="00000000">
            <w:pPr>
              <w:keepNext/>
              <w:keepLines/>
              <w:spacing w:after="0" w:line="240" w:lineRule="auto"/>
              <w:jc w:val="right"/>
            </w:pPr>
            <w:r>
              <w:rPr>
                <w:sz w:val="18"/>
              </w:rPr>
              <w:t>17.842,30</w:t>
            </w:r>
          </w:p>
        </w:tc>
        <w:tc>
          <w:tcPr>
            <w:tcW w:w="1860" w:type="dxa"/>
            <w:tcMar>
              <w:top w:w="0" w:type="dxa"/>
              <w:bottom w:w="0" w:type="dxa"/>
            </w:tcMar>
            <w:vAlign w:val="center"/>
          </w:tcPr>
          <w:p w14:paraId="17502A47" w14:textId="77777777" w:rsidR="000149DF" w:rsidRDefault="00000000">
            <w:pPr>
              <w:keepNext/>
              <w:keepLines/>
              <w:spacing w:after="0" w:line="240" w:lineRule="auto"/>
              <w:jc w:val="right"/>
            </w:pPr>
            <w:r>
              <w:rPr>
                <w:sz w:val="18"/>
              </w:rPr>
              <w:t>84.991,57</w:t>
            </w:r>
          </w:p>
        </w:tc>
        <w:tc>
          <w:tcPr>
            <w:tcW w:w="700" w:type="dxa"/>
            <w:tcMar>
              <w:top w:w="0" w:type="dxa"/>
              <w:bottom w:w="0" w:type="dxa"/>
            </w:tcMar>
            <w:vAlign w:val="center"/>
          </w:tcPr>
          <w:p w14:paraId="7972ADCC" w14:textId="77777777" w:rsidR="000149DF" w:rsidRDefault="00000000">
            <w:pPr>
              <w:keepNext/>
              <w:keepLines/>
              <w:spacing w:after="0" w:line="240" w:lineRule="auto"/>
              <w:jc w:val="right"/>
            </w:pPr>
            <w:r>
              <w:rPr>
                <w:sz w:val="18"/>
              </w:rPr>
              <w:t>476,3</w:t>
            </w:r>
          </w:p>
        </w:tc>
      </w:tr>
    </w:tbl>
    <w:p w14:paraId="06CF2B18" w14:textId="77777777" w:rsidR="000149DF" w:rsidRDefault="000149DF">
      <w:pPr>
        <w:spacing w:after="0"/>
      </w:pPr>
    </w:p>
    <w:p w14:paraId="54B4F981" w14:textId="77777777" w:rsidR="000149DF" w:rsidRDefault="00000000">
      <w:r>
        <w:lastRenderedPageBreak/>
        <w:t>Povećanje s indeksom od 476,3 na službenom, radnom i zaštitnom odjeći i obući odnosi se na nabavu vatrogasne radne i zaštitne odjeće i obuće  u iznosu od 68.468,75 € po EU projektu HANDY - jačanje suradnje između tijela civilne zaštite uključenih u upravljanje hitnim situacijama u jadranskom području. Ostatak iznosa odnosi se na službenu odjeću djelatnika županije koji na istu imaju pravo.</w:t>
      </w:r>
    </w:p>
    <w:p w14:paraId="3DD4B623" w14:textId="77777777" w:rsidR="000149DF" w:rsidRDefault="000149DF"/>
    <w:p w14:paraId="245C2240" w14:textId="77777777" w:rsidR="000149DF" w:rsidRDefault="00000000">
      <w:pPr>
        <w:keepNext/>
        <w:spacing w:line="240" w:lineRule="auto"/>
        <w:jc w:val="center"/>
      </w:pPr>
      <w:r>
        <w:rPr>
          <w:sz w:val="28"/>
        </w:rPr>
        <w:t>Bilješka 25.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70019A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D9ABA4D"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3EA1FFF"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7DA5593"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E11BD5F"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99ABE9B"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08EF2A9" w14:textId="77777777" w:rsidR="000149DF" w:rsidRDefault="00000000">
            <w:pPr>
              <w:keepNext/>
              <w:keepLines/>
              <w:spacing w:after="0" w:line="240" w:lineRule="auto"/>
              <w:jc w:val="center"/>
            </w:pPr>
            <w:r>
              <w:rPr>
                <w:b/>
                <w:sz w:val="18"/>
              </w:rPr>
              <w:t>Indeks (%)</w:t>
            </w:r>
          </w:p>
        </w:tc>
      </w:tr>
      <w:tr w:rsidR="000149DF" w14:paraId="701336DD" w14:textId="77777777">
        <w:tblPrEx>
          <w:tblCellMar>
            <w:top w:w="0" w:type="dxa"/>
            <w:bottom w:w="0" w:type="dxa"/>
          </w:tblCellMar>
        </w:tblPrEx>
        <w:trPr>
          <w:cantSplit/>
          <w:trHeight w:val="560"/>
        </w:trPr>
        <w:tc>
          <w:tcPr>
            <w:tcW w:w="700" w:type="dxa"/>
            <w:tcMar>
              <w:top w:w="0" w:type="dxa"/>
              <w:bottom w:w="0" w:type="dxa"/>
            </w:tcMar>
            <w:vAlign w:val="center"/>
          </w:tcPr>
          <w:p w14:paraId="09E42655" w14:textId="77777777" w:rsidR="000149DF" w:rsidRDefault="00000000">
            <w:pPr>
              <w:keepNext/>
              <w:keepLines/>
              <w:spacing w:after="0" w:line="240" w:lineRule="auto"/>
            </w:pPr>
            <w:r>
              <w:rPr>
                <w:sz w:val="18"/>
              </w:rPr>
              <w:t>3232</w:t>
            </w:r>
          </w:p>
        </w:tc>
        <w:tc>
          <w:tcPr>
            <w:tcW w:w="3180" w:type="dxa"/>
            <w:tcMar>
              <w:top w:w="0" w:type="dxa"/>
              <w:bottom w:w="0" w:type="dxa"/>
            </w:tcMar>
            <w:vAlign w:val="center"/>
          </w:tcPr>
          <w:p w14:paraId="109F537D" w14:textId="77777777" w:rsidR="000149DF" w:rsidRDefault="00000000">
            <w:pPr>
              <w:keepNext/>
              <w:keepLines/>
              <w:spacing w:after="0" w:line="240" w:lineRule="auto"/>
            </w:pPr>
            <w:r>
              <w:rPr>
                <w:sz w:val="18"/>
              </w:rPr>
              <w:t>Usluge tekućeg i investicijskog održavanja</w:t>
            </w:r>
          </w:p>
        </w:tc>
        <w:tc>
          <w:tcPr>
            <w:tcW w:w="700" w:type="dxa"/>
            <w:tcMar>
              <w:top w:w="0" w:type="dxa"/>
              <w:bottom w:w="0" w:type="dxa"/>
            </w:tcMar>
            <w:vAlign w:val="center"/>
          </w:tcPr>
          <w:p w14:paraId="4B529643" w14:textId="77777777" w:rsidR="000149DF" w:rsidRDefault="00000000">
            <w:pPr>
              <w:keepNext/>
              <w:keepLines/>
              <w:spacing w:after="0" w:line="240" w:lineRule="auto"/>
            </w:pPr>
            <w:r>
              <w:rPr>
                <w:sz w:val="18"/>
              </w:rPr>
              <w:t>3232</w:t>
            </w:r>
          </w:p>
        </w:tc>
        <w:tc>
          <w:tcPr>
            <w:tcW w:w="1860" w:type="dxa"/>
            <w:tcMar>
              <w:top w:w="0" w:type="dxa"/>
              <w:bottom w:w="0" w:type="dxa"/>
            </w:tcMar>
            <w:vAlign w:val="center"/>
          </w:tcPr>
          <w:p w14:paraId="3A5B567E" w14:textId="77777777" w:rsidR="000149DF" w:rsidRDefault="00000000">
            <w:pPr>
              <w:keepNext/>
              <w:keepLines/>
              <w:spacing w:after="0" w:line="240" w:lineRule="auto"/>
              <w:jc w:val="right"/>
            </w:pPr>
            <w:r>
              <w:rPr>
                <w:sz w:val="18"/>
              </w:rPr>
              <w:t>183.077,26</w:t>
            </w:r>
          </w:p>
        </w:tc>
        <w:tc>
          <w:tcPr>
            <w:tcW w:w="1860" w:type="dxa"/>
            <w:tcMar>
              <w:top w:w="0" w:type="dxa"/>
              <w:bottom w:w="0" w:type="dxa"/>
            </w:tcMar>
            <w:vAlign w:val="center"/>
          </w:tcPr>
          <w:p w14:paraId="5D11E48E" w14:textId="77777777" w:rsidR="000149DF" w:rsidRDefault="00000000">
            <w:pPr>
              <w:keepNext/>
              <w:keepLines/>
              <w:spacing w:after="0" w:line="240" w:lineRule="auto"/>
              <w:jc w:val="right"/>
            </w:pPr>
            <w:r>
              <w:rPr>
                <w:sz w:val="18"/>
              </w:rPr>
              <w:t>340.741,34</w:t>
            </w:r>
          </w:p>
        </w:tc>
        <w:tc>
          <w:tcPr>
            <w:tcW w:w="700" w:type="dxa"/>
            <w:tcMar>
              <w:top w:w="0" w:type="dxa"/>
              <w:bottom w:w="0" w:type="dxa"/>
            </w:tcMar>
            <w:vAlign w:val="center"/>
          </w:tcPr>
          <w:p w14:paraId="127A120D" w14:textId="77777777" w:rsidR="000149DF" w:rsidRDefault="00000000">
            <w:pPr>
              <w:keepNext/>
              <w:keepLines/>
              <w:spacing w:after="0" w:line="240" w:lineRule="auto"/>
              <w:jc w:val="right"/>
            </w:pPr>
            <w:r>
              <w:rPr>
                <w:sz w:val="18"/>
              </w:rPr>
              <w:t>186,1</w:t>
            </w:r>
          </w:p>
        </w:tc>
      </w:tr>
    </w:tbl>
    <w:p w14:paraId="2C2CBAB1" w14:textId="77777777" w:rsidR="000149DF" w:rsidRDefault="000149DF">
      <w:pPr>
        <w:spacing w:after="0"/>
      </w:pPr>
    </w:p>
    <w:p w14:paraId="4B02DC43" w14:textId="77777777" w:rsidR="000149DF" w:rsidRDefault="00000000">
      <w:r>
        <w:t>Osim redovnih usluga tekućeg i investicijskog održavanja u 2025. godini na ovom računu evidentiran je trošak rekonstrukcije dijela krova SŠ Fra. Andrije Kačića Miošića u iznosu od 113.451,48 €</w:t>
      </w:r>
    </w:p>
    <w:p w14:paraId="47C8C683" w14:textId="77777777" w:rsidR="000149DF" w:rsidRDefault="000149DF"/>
    <w:p w14:paraId="7C747710" w14:textId="77777777" w:rsidR="000149DF" w:rsidRDefault="00000000">
      <w:pPr>
        <w:keepNext/>
        <w:spacing w:line="240" w:lineRule="auto"/>
        <w:jc w:val="center"/>
      </w:pPr>
      <w:r>
        <w:rPr>
          <w:sz w:val="28"/>
        </w:rPr>
        <w:t>Bilješka 26.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2E2AB56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B089B19"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432D258"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CBC3FA8"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CE2C0A8"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205E8D1"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7C15019" w14:textId="77777777" w:rsidR="000149DF" w:rsidRDefault="00000000">
            <w:pPr>
              <w:keepNext/>
              <w:keepLines/>
              <w:spacing w:after="0" w:line="240" w:lineRule="auto"/>
              <w:jc w:val="center"/>
            </w:pPr>
            <w:r>
              <w:rPr>
                <w:b/>
                <w:sz w:val="18"/>
              </w:rPr>
              <w:t>Indeks (%)</w:t>
            </w:r>
          </w:p>
        </w:tc>
      </w:tr>
      <w:tr w:rsidR="000149DF" w14:paraId="0A3CE9C1" w14:textId="77777777">
        <w:tblPrEx>
          <w:tblCellMar>
            <w:top w:w="0" w:type="dxa"/>
            <w:bottom w:w="0" w:type="dxa"/>
          </w:tblCellMar>
        </w:tblPrEx>
        <w:trPr>
          <w:cantSplit/>
          <w:trHeight w:val="560"/>
        </w:trPr>
        <w:tc>
          <w:tcPr>
            <w:tcW w:w="700" w:type="dxa"/>
            <w:tcMar>
              <w:top w:w="0" w:type="dxa"/>
              <w:bottom w:w="0" w:type="dxa"/>
            </w:tcMar>
            <w:vAlign w:val="center"/>
          </w:tcPr>
          <w:p w14:paraId="377F41CF" w14:textId="77777777" w:rsidR="000149DF" w:rsidRDefault="00000000">
            <w:pPr>
              <w:keepNext/>
              <w:keepLines/>
              <w:spacing w:after="0" w:line="240" w:lineRule="auto"/>
            </w:pPr>
            <w:r>
              <w:rPr>
                <w:sz w:val="18"/>
              </w:rPr>
              <w:t>3233</w:t>
            </w:r>
          </w:p>
        </w:tc>
        <w:tc>
          <w:tcPr>
            <w:tcW w:w="3180" w:type="dxa"/>
            <w:tcMar>
              <w:top w:w="0" w:type="dxa"/>
              <w:bottom w:w="0" w:type="dxa"/>
            </w:tcMar>
            <w:vAlign w:val="center"/>
          </w:tcPr>
          <w:p w14:paraId="280C7DEA" w14:textId="77777777" w:rsidR="000149DF" w:rsidRDefault="00000000">
            <w:pPr>
              <w:keepNext/>
              <w:keepLines/>
              <w:spacing w:after="0" w:line="240" w:lineRule="auto"/>
            </w:pPr>
            <w:r>
              <w:rPr>
                <w:sz w:val="18"/>
              </w:rPr>
              <w:t>Usluge promidžbe i informiranja</w:t>
            </w:r>
          </w:p>
        </w:tc>
        <w:tc>
          <w:tcPr>
            <w:tcW w:w="700" w:type="dxa"/>
            <w:tcMar>
              <w:top w:w="0" w:type="dxa"/>
              <w:bottom w:w="0" w:type="dxa"/>
            </w:tcMar>
            <w:vAlign w:val="center"/>
          </w:tcPr>
          <w:p w14:paraId="02473A13" w14:textId="77777777" w:rsidR="000149DF" w:rsidRDefault="00000000">
            <w:pPr>
              <w:keepNext/>
              <w:keepLines/>
              <w:spacing w:after="0" w:line="240" w:lineRule="auto"/>
            </w:pPr>
            <w:r>
              <w:rPr>
                <w:sz w:val="18"/>
              </w:rPr>
              <w:t>3233</w:t>
            </w:r>
          </w:p>
        </w:tc>
        <w:tc>
          <w:tcPr>
            <w:tcW w:w="1860" w:type="dxa"/>
            <w:tcMar>
              <w:top w:w="0" w:type="dxa"/>
              <w:bottom w:w="0" w:type="dxa"/>
            </w:tcMar>
            <w:vAlign w:val="center"/>
          </w:tcPr>
          <w:p w14:paraId="018BA9FF" w14:textId="77777777" w:rsidR="000149DF" w:rsidRDefault="00000000">
            <w:pPr>
              <w:keepNext/>
              <w:keepLines/>
              <w:spacing w:after="0" w:line="240" w:lineRule="auto"/>
              <w:jc w:val="right"/>
            </w:pPr>
            <w:r>
              <w:rPr>
                <w:sz w:val="18"/>
              </w:rPr>
              <w:t>259.265,76</w:t>
            </w:r>
          </w:p>
        </w:tc>
        <w:tc>
          <w:tcPr>
            <w:tcW w:w="1860" w:type="dxa"/>
            <w:tcMar>
              <w:top w:w="0" w:type="dxa"/>
              <w:bottom w:w="0" w:type="dxa"/>
            </w:tcMar>
            <w:vAlign w:val="center"/>
          </w:tcPr>
          <w:p w14:paraId="66054CDD" w14:textId="77777777" w:rsidR="000149DF" w:rsidRDefault="00000000">
            <w:pPr>
              <w:keepNext/>
              <w:keepLines/>
              <w:spacing w:after="0" w:line="240" w:lineRule="auto"/>
              <w:jc w:val="right"/>
            </w:pPr>
            <w:r>
              <w:rPr>
                <w:sz w:val="18"/>
              </w:rPr>
              <w:t>370.617,67</w:t>
            </w:r>
          </w:p>
        </w:tc>
        <w:tc>
          <w:tcPr>
            <w:tcW w:w="700" w:type="dxa"/>
            <w:tcMar>
              <w:top w:w="0" w:type="dxa"/>
              <w:bottom w:w="0" w:type="dxa"/>
            </w:tcMar>
            <w:vAlign w:val="center"/>
          </w:tcPr>
          <w:p w14:paraId="7462B815" w14:textId="77777777" w:rsidR="000149DF" w:rsidRDefault="00000000">
            <w:pPr>
              <w:keepNext/>
              <w:keepLines/>
              <w:spacing w:after="0" w:line="240" w:lineRule="auto"/>
              <w:jc w:val="right"/>
            </w:pPr>
            <w:r>
              <w:rPr>
                <w:sz w:val="18"/>
              </w:rPr>
              <w:t>142,9</w:t>
            </w:r>
          </w:p>
        </w:tc>
      </w:tr>
    </w:tbl>
    <w:p w14:paraId="5DE048C9" w14:textId="77777777" w:rsidR="000149DF" w:rsidRDefault="000149DF">
      <w:pPr>
        <w:spacing w:after="0"/>
      </w:pPr>
    </w:p>
    <w:p w14:paraId="00551F4A" w14:textId="77777777" w:rsidR="000149DF" w:rsidRDefault="00000000">
      <w:r>
        <w:t>Značajno povećanje na uslugama promidžbe i informiranja  u odnosu na prethodnu godinu odnosi se na povećani broj oglasa za zapošljavanje, na povećanje cijena medijskog praćenje i na izradu promidžbenih materijala za EU projekte.</w:t>
      </w:r>
    </w:p>
    <w:p w14:paraId="5C9E0C4F" w14:textId="77777777" w:rsidR="000149DF" w:rsidRDefault="000149DF"/>
    <w:p w14:paraId="364B15E8" w14:textId="77777777" w:rsidR="000149DF" w:rsidRDefault="00000000">
      <w:pPr>
        <w:keepNext/>
        <w:spacing w:line="240" w:lineRule="auto"/>
        <w:jc w:val="center"/>
      </w:pPr>
      <w:r>
        <w:rPr>
          <w:sz w:val="28"/>
        </w:rPr>
        <w:t>Bilješka 27.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5970068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9943A06"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682E2BA"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640DECD"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1B02129"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CF4EEB1"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B760378" w14:textId="77777777" w:rsidR="000149DF" w:rsidRDefault="00000000">
            <w:pPr>
              <w:keepNext/>
              <w:keepLines/>
              <w:spacing w:after="0" w:line="240" w:lineRule="auto"/>
              <w:jc w:val="center"/>
            </w:pPr>
            <w:r>
              <w:rPr>
                <w:b/>
                <w:sz w:val="18"/>
              </w:rPr>
              <w:t>Indeks (%)</w:t>
            </w:r>
          </w:p>
        </w:tc>
      </w:tr>
      <w:tr w:rsidR="000149DF" w14:paraId="41E3E4C0" w14:textId="77777777">
        <w:tblPrEx>
          <w:tblCellMar>
            <w:top w:w="0" w:type="dxa"/>
            <w:bottom w:w="0" w:type="dxa"/>
          </w:tblCellMar>
        </w:tblPrEx>
        <w:trPr>
          <w:cantSplit/>
          <w:trHeight w:val="560"/>
        </w:trPr>
        <w:tc>
          <w:tcPr>
            <w:tcW w:w="700" w:type="dxa"/>
            <w:tcMar>
              <w:top w:w="0" w:type="dxa"/>
              <w:bottom w:w="0" w:type="dxa"/>
            </w:tcMar>
            <w:vAlign w:val="center"/>
          </w:tcPr>
          <w:p w14:paraId="39B682FE" w14:textId="77777777" w:rsidR="000149DF" w:rsidRDefault="00000000">
            <w:pPr>
              <w:keepNext/>
              <w:keepLines/>
              <w:spacing w:after="0" w:line="240" w:lineRule="auto"/>
            </w:pPr>
            <w:r>
              <w:rPr>
                <w:sz w:val="18"/>
              </w:rPr>
              <w:t>3237</w:t>
            </w:r>
          </w:p>
        </w:tc>
        <w:tc>
          <w:tcPr>
            <w:tcW w:w="3180" w:type="dxa"/>
            <w:tcMar>
              <w:top w:w="0" w:type="dxa"/>
              <w:bottom w:w="0" w:type="dxa"/>
            </w:tcMar>
            <w:vAlign w:val="center"/>
          </w:tcPr>
          <w:p w14:paraId="29CC14FB" w14:textId="77777777" w:rsidR="000149DF" w:rsidRDefault="00000000">
            <w:pPr>
              <w:keepNext/>
              <w:keepLines/>
              <w:spacing w:after="0" w:line="240" w:lineRule="auto"/>
            </w:pPr>
            <w:r>
              <w:rPr>
                <w:sz w:val="18"/>
              </w:rPr>
              <w:t>Intelektualne i osobne usluge</w:t>
            </w:r>
          </w:p>
        </w:tc>
        <w:tc>
          <w:tcPr>
            <w:tcW w:w="700" w:type="dxa"/>
            <w:tcMar>
              <w:top w:w="0" w:type="dxa"/>
              <w:bottom w:w="0" w:type="dxa"/>
            </w:tcMar>
            <w:vAlign w:val="center"/>
          </w:tcPr>
          <w:p w14:paraId="154D9855" w14:textId="77777777" w:rsidR="000149DF" w:rsidRDefault="00000000">
            <w:pPr>
              <w:keepNext/>
              <w:keepLines/>
              <w:spacing w:after="0" w:line="240" w:lineRule="auto"/>
            </w:pPr>
            <w:r>
              <w:rPr>
                <w:sz w:val="18"/>
              </w:rPr>
              <w:t>3237</w:t>
            </w:r>
          </w:p>
        </w:tc>
        <w:tc>
          <w:tcPr>
            <w:tcW w:w="1860" w:type="dxa"/>
            <w:tcMar>
              <w:top w:w="0" w:type="dxa"/>
              <w:bottom w:w="0" w:type="dxa"/>
            </w:tcMar>
            <w:vAlign w:val="center"/>
          </w:tcPr>
          <w:p w14:paraId="5CD9C2BA" w14:textId="77777777" w:rsidR="000149DF" w:rsidRDefault="00000000">
            <w:pPr>
              <w:keepNext/>
              <w:keepLines/>
              <w:spacing w:after="0" w:line="240" w:lineRule="auto"/>
              <w:jc w:val="right"/>
            </w:pPr>
            <w:r>
              <w:rPr>
                <w:sz w:val="18"/>
              </w:rPr>
              <w:t>935.259,14</w:t>
            </w:r>
          </w:p>
        </w:tc>
        <w:tc>
          <w:tcPr>
            <w:tcW w:w="1860" w:type="dxa"/>
            <w:tcMar>
              <w:top w:w="0" w:type="dxa"/>
              <w:bottom w:w="0" w:type="dxa"/>
            </w:tcMar>
            <w:vAlign w:val="center"/>
          </w:tcPr>
          <w:p w14:paraId="29104F36" w14:textId="77777777" w:rsidR="000149DF" w:rsidRDefault="00000000">
            <w:pPr>
              <w:keepNext/>
              <w:keepLines/>
              <w:spacing w:after="0" w:line="240" w:lineRule="auto"/>
              <w:jc w:val="right"/>
            </w:pPr>
            <w:r>
              <w:rPr>
                <w:sz w:val="18"/>
              </w:rPr>
              <w:t>2.229.008,84</w:t>
            </w:r>
          </w:p>
        </w:tc>
        <w:tc>
          <w:tcPr>
            <w:tcW w:w="700" w:type="dxa"/>
            <w:tcMar>
              <w:top w:w="0" w:type="dxa"/>
              <w:bottom w:w="0" w:type="dxa"/>
            </w:tcMar>
            <w:vAlign w:val="center"/>
          </w:tcPr>
          <w:p w14:paraId="71BB84D5" w14:textId="77777777" w:rsidR="000149DF" w:rsidRDefault="00000000">
            <w:pPr>
              <w:keepNext/>
              <w:keepLines/>
              <w:spacing w:after="0" w:line="240" w:lineRule="auto"/>
              <w:jc w:val="right"/>
            </w:pPr>
            <w:r>
              <w:rPr>
                <w:sz w:val="18"/>
              </w:rPr>
              <w:t>238,3</w:t>
            </w:r>
          </w:p>
        </w:tc>
      </w:tr>
    </w:tbl>
    <w:p w14:paraId="5ECB7FE0" w14:textId="77777777" w:rsidR="000149DF" w:rsidRDefault="000149DF">
      <w:pPr>
        <w:spacing w:after="0"/>
      </w:pPr>
    </w:p>
    <w:p w14:paraId="3FF5A451" w14:textId="77777777" w:rsidR="000149DF" w:rsidRDefault="00000000">
      <w:r>
        <w:t>Povećanje na intelektualnim i osobnim uslugama  u odnosu na prethodnu godinu odnosi se na povećanje usluga odvjetnika po sudskim sporovima i povećanja usluga vještačenja u imovinsko pravnim poslovima</w:t>
      </w:r>
    </w:p>
    <w:p w14:paraId="4DAD9F80" w14:textId="77777777" w:rsidR="000149DF" w:rsidRDefault="000149DF"/>
    <w:p w14:paraId="18CCD6CE" w14:textId="77777777" w:rsidR="000149DF" w:rsidRDefault="00000000">
      <w:pPr>
        <w:keepNext/>
        <w:spacing w:line="240" w:lineRule="auto"/>
        <w:jc w:val="center"/>
      </w:pPr>
      <w:r>
        <w:rPr>
          <w:sz w:val="28"/>
        </w:rPr>
        <w:lastRenderedPageBreak/>
        <w:t>Bilješka 28.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C5DEDA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559667F"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1BDB874"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65A1B52"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9D7092E"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988153C"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4A36B74" w14:textId="77777777" w:rsidR="000149DF" w:rsidRDefault="00000000">
            <w:pPr>
              <w:keepNext/>
              <w:keepLines/>
              <w:spacing w:after="0" w:line="240" w:lineRule="auto"/>
              <w:jc w:val="center"/>
            </w:pPr>
            <w:r>
              <w:rPr>
                <w:b/>
                <w:sz w:val="18"/>
              </w:rPr>
              <w:t>Indeks (%)</w:t>
            </w:r>
          </w:p>
        </w:tc>
      </w:tr>
      <w:tr w:rsidR="000149DF" w14:paraId="37BC7EB9" w14:textId="77777777">
        <w:tblPrEx>
          <w:tblCellMar>
            <w:top w:w="0" w:type="dxa"/>
            <w:bottom w:w="0" w:type="dxa"/>
          </w:tblCellMar>
        </w:tblPrEx>
        <w:trPr>
          <w:cantSplit/>
          <w:trHeight w:val="560"/>
        </w:trPr>
        <w:tc>
          <w:tcPr>
            <w:tcW w:w="700" w:type="dxa"/>
            <w:tcMar>
              <w:top w:w="0" w:type="dxa"/>
              <w:bottom w:w="0" w:type="dxa"/>
            </w:tcMar>
            <w:vAlign w:val="center"/>
          </w:tcPr>
          <w:p w14:paraId="0A72CF1A" w14:textId="77777777" w:rsidR="000149DF" w:rsidRDefault="00000000">
            <w:pPr>
              <w:keepNext/>
              <w:keepLines/>
              <w:spacing w:after="0" w:line="240" w:lineRule="auto"/>
            </w:pPr>
            <w:r>
              <w:rPr>
                <w:sz w:val="18"/>
              </w:rPr>
              <w:t>3296</w:t>
            </w:r>
          </w:p>
        </w:tc>
        <w:tc>
          <w:tcPr>
            <w:tcW w:w="3180" w:type="dxa"/>
            <w:tcMar>
              <w:top w:w="0" w:type="dxa"/>
              <w:bottom w:w="0" w:type="dxa"/>
            </w:tcMar>
            <w:vAlign w:val="center"/>
          </w:tcPr>
          <w:p w14:paraId="717FCB18" w14:textId="77777777" w:rsidR="000149DF" w:rsidRDefault="00000000">
            <w:pPr>
              <w:keepNext/>
              <w:keepLines/>
              <w:spacing w:after="0" w:line="240" w:lineRule="auto"/>
            </w:pPr>
            <w:r>
              <w:rPr>
                <w:sz w:val="18"/>
              </w:rPr>
              <w:t>Troškovi sudskih postupaka</w:t>
            </w:r>
          </w:p>
        </w:tc>
        <w:tc>
          <w:tcPr>
            <w:tcW w:w="700" w:type="dxa"/>
            <w:tcMar>
              <w:top w:w="0" w:type="dxa"/>
              <w:bottom w:w="0" w:type="dxa"/>
            </w:tcMar>
            <w:vAlign w:val="center"/>
          </w:tcPr>
          <w:p w14:paraId="4E9F4FD4" w14:textId="77777777" w:rsidR="000149DF" w:rsidRDefault="00000000">
            <w:pPr>
              <w:keepNext/>
              <w:keepLines/>
              <w:spacing w:after="0" w:line="240" w:lineRule="auto"/>
            </w:pPr>
            <w:r>
              <w:rPr>
                <w:sz w:val="18"/>
              </w:rPr>
              <w:t>3296</w:t>
            </w:r>
          </w:p>
        </w:tc>
        <w:tc>
          <w:tcPr>
            <w:tcW w:w="1860" w:type="dxa"/>
            <w:tcMar>
              <w:top w:w="0" w:type="dxa"/>
              <w:bottom w:w="0" w:type="dxa"/>
            </w:tcMar>
            <w:vAlign w:val="center"/>
          </w:tcPr>
          <w:p w14:paraId="50C65873" w14:textId="77777777" w:rsidR="000149DF" w:rsidRDefault="00000000">
            <w:pPr>
              <w:keepNext/>
              <w:keepLines/>
              <w:spacing w:after="0" w:line="240" w:lineRule="auto"/>
              <w:jc w:val="right"/>
            </w:pPr>
            <w:r>
              <w:rPr>
                <w:sz w:val="18"/>
              </w:rPr>
              <w:t>3.693,35</w:t>
            </w:r>
          </w:p>
        </w:tc>
        <w:tc>
          <w:tcPr>
            <w:tcW w:w="1860" w:type="dxa"/>
            <w:tcMar>
              <w:top w:w="0" w:type="dxa"/>
              <w:bottom w:w="0" w:type="dxa"/>
            </w:tcMar>
            <w:vAlign w:val="center"/>
          </w:tcPr>
          <w:p w14:paraId="643C04D9" w14:textId="77777777" w:rsidR="000149DF" w:rsidRDefault="00000000">
            <w:pPr>
              <w:keepNext/>
              <w:keepLines/>
              <w:spacing w:after="0" w:line="240" w:lineRule="auto"/>
              <w:jc w:val="right"/>
            </w:pPr>
            <w:r>
              <w:rPr>
                <w:sz w:val="18"/>
              </w:rPr>
              <w:t>377.536,91</w:t>
            </w:r>
          </w:p>
        </w:tc>
        <w:tc>
          <w:tcPr>
            <w:tcW w:w="700" w:type="dxa"/>
            <w:tcMar>
              <w:top w:w="0" w:type="dxa"/>
              <w:bottom w:w="0" w:type="dxa"/>
            </w:tcMar>
            <w:vAlign w:val="center"/>
          </w:tcPr>
          <w:p w14:paraId="6D92E733" w14:textId="77777777" w:rsidR="000149DF" w:rsidRDefault="00000000">
            <w:pPr>
              <w:keepNext/>
              <w:keepLines/>
              <w:spacing w:after="0" w:line="240" w:lineRule="auto"/>
              <w:jc w:val="right"/>
            </w:pPr>
            <w:r>
              <w:rPr>
                <w:sz w:val="18"/>
              </w:rPr>
              <w:t>&gt;&gt;100</w:t>
            </w:r>
          </w:p>
        </w:tc>
      </w:tr>
    </w:tbl>
    <w:p w14:paraId="555647F6" w14:textId="77777777" w:rsidR="000149DF" w:rsidRDefault="000149DF">
      <w:pPr>
        <w:spacing w:after="0"/>
      </w:pPr>
    </w:p>
    <w:p w14:paraId="6A139084" w14:textId="77777777" w:rsidR="000149DF" w:rsidRDefault="00000000">
      <w:r>
        <w:t>Troškovi sudskih postupaka odnose se na isplatu po presudama:</w:t>
      </w:r>
    </w:p>
    <w:p w14:paraId="0B9C043A" w14:textId="77777777" w:rsidR="000149DF" w:rsidRDefault="00000000">
      <w:pPr>
        <w:pStyle w:val="ListParagraph"/>
        <w:numPr>
          <w:ilvl w:val="0"/>
          <w:numId w:val="1"/>
        </w:numPr>
      </w:pPr>
      <w:r>
        <w:t>za Phoenix farmacija u iznosu od 162.436,95 €, a koji se odnosi na tužbu za nepodmirene obveze za nabavu lijekova i potrošnog medicinskog materijala Opće bolnice Dubrovnik</w:t>
      </w:r>
    </w:p>
    <w:p w14:paraId="7B5AEA9A" w14:textId="77777777" w:rsidR="000149DF" w:rsidRDefault="00000000">
      <w:pPr>
        <w:pStyle w:val="ListParagraph"/>
        <w:numPr>
          <w:ilvl w:val="0"/>
          <w:numId w:val="1"/>
        </w:numPr>
      </w:pPr>
      <w:r>
        <w:t>za fizičku osobu u predmetu utvrđivanja komunalnog doprinosa Općine Župa Dubrovačka u iznosu od 2.500,00 €</w:t>
      </w:r>
    </w:p>
    <w:p w14:paraId="69E7055D" w14:textId="77777777" w:rsidR="000149DF" w:rsidRDefault="00000000">
      <w:pPr>
        <w:pStyle w:val="ListParagraph"/>
        <w:numPr>
          <w:ilvl w:val="0"/>
          <w:numId w:val="1"/>
        </w:numPr>
      </w:pPr>
      <w:r>
        <w:t>za fizičku osobu u predmetu provođenja komunalnog reda na području Grada Korčule u iznosu od 2.000,00 €</w:t>
      </w:r>
    </w:p>
    <w:p w14:paraId="5EC59E85" w14:textId="77777777" w:rsidR="000149DF" w:rsidRDefault="00000000">
      <w:pPr>
        <w:pStyle w:val="ListParagraph"/>
        <w:numPr>
          <w:ilvl w:val="0"/>
          <w:numId w:val="1"/>
        </w:numPr>
      </w:pPr>
      <w:r>
        <w:t>za Zagrebačka banka u predmetu provođenja komunalnog reda Grada Dubrovnika u iznosu od 187,50 €</w:t>
      </w:r>
    </w:p>
    <w:p w14:paraId="5E5F3712" w14:textId="77777777" w:rsidR="000149DF" w:rsidRDefault="00000000">
      <w:pPr>
        <w:pStyle w:val="ListParagraph"/>
        <w:numPr>
          <w:ilvl w:val="0"/>
          <w:numId w:val="1"/>
        </w:numPr>
      </w:pPr>
      <w:r>
        <w:t>za Oktal Pharma d.o.o. u iznosu od 210.412,46€, a koji se odnosi za naplatu dogovanja s naslova dospjelih nepodmirenih računa i kamata Opće bolnice Dubrovnik.</w:t>
      </w:r>
    </w:p>
    <w:p w14:paraId="05D096D1" w14:textId="77777777" w:rsidR="000149DF" w:rsidRDefault="000149DF"/>
    <w:p w14:paraId="2E368B45" w14:textId="77777777" w:rsidR="000149DF" w:rsidRDefault="00000000">
      <w:pPr>
        <w:keepNext/>
        <w:spacing w:line="240" w:lineRule="auto"/>
        <w:jc w:val="center"/>
      </w:pPr>
      <w:r>
        <w:rPr>
          <w:sz w:val="28"/>
        </w:rPr>
        <w:t>Bilješka 29.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025598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D89AA82"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55F3244"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0182A0D"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A121C46"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3D38452"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487FDED" w14:textId="77777777" w:rsidR="000149DF" w:rsidRDefault="00000000">
            <w:pPr>
              <w:keepNext/>
              <w:keepLines/>
              <w:spacing w:after="0" w:line="240" w:lineRule="auto"/>
              <w:jc w:val="center"/>
            </w:pPr>
            <w:r>
              <w:rPr>
                <w:b/>
                <w:sz w:val="18"/>
              </w:rPr>
              <w:t>Indeks (%)</w:t>
            </w:r>
          </w:p>
        </w:tc>
      </w:tr>
      <w:tr w:rsidR="000149DF" w14:paraId="75B431DF" w14:textId="77777777">
        <w:tblPrEx>
          <w:tblCellMar>
            <w:top w:w="0" w:type="dxa"/>
            <w:bottom w:w="0" w:type="dxa"/>
          </w:tblCellMar>
        </w:tblPrEx>
        <w:trPr>
          <w:cantSplit/>
          <w:trHeight w:val="560"/>
        </w:trPr>
        <w:tc>
          <w:tcPr>
            <w:tcW w:w="700" w:type="dxa"/>
            <w:tcMar>
              <w:top w:w="0" w:type="dxa"/>
              <w:bottom w:w="0" w:type="dxa"/>
            </w:tcMar>
            <w:vAlign w:val="center"/>
          </w:tcPr>
          <w:p w14:paraId="33E816CA" w14:textId="77777777" w:rsidR="000149DF" w:rsidRDefault="00000000">
            <w:pPr>
              <w:keepNext/>
              <w:keepLines/>
              <w:spacing w:after="0" w:line="240" w:lineRule="auto"/>
            </w:pPr>
            <w:r>
              <w:rPr>
                <w:sz w:val="18"/>
              </w:rPr>
              <w:t>34</w:t>
            </w:r>
          </w:p>
        </w:tc>
        <w:tc>
          <w:tcPr>
            <w:tcW w:w="3180" w:type="dxa"/>
            <w:tcMar>
              <w:top w:w="0" w:type="dxa"/>
              <w:bottom w:w="0" w:type="dxa"/>
            </w:tcMar>
            <w:vAlign w:val="center"/>
          </w:tcPr>
          <w:p w14:paraId="69BF0432" w14:textId="77777777" w:rsidR="000149DF" w:rsidRDefault="00000000">
            <w:pPr>
              <w:keepNext/>
              <w:keepLines/>
              <w:spacing w:after="0" w:line="240" w:lineRule="auto"/>
            </w:pPr>
            <w:r>
              <w:rPr>
                <w:sz w:val="18"/>
              </w:rPr>
              <w:t>Financijski rashodi (šifre 341+342+343)</w:t>
            </w:r>
          </w:p>
        </w:tc>
        <w:tc>
          <w:tcPr>
            <w:tcW w:w="700" w:type="dxa"/>
            <w:tcMar>
              <w:top w:w="0" w:type="dxa"/>
              <w:bottom w:w="0" w:type="dxa"/>
            </w:tcMar>
            <w:vAlign w:val="center"/>
          </w:tcPr>
          <w:p w14:paraId="6010DEF5" w14:textId="77777777" w:rsidR="000149DF" w:rsidRDefault="00000000">
            <w:pPr>
              <w:keepNext/>
              <w:keepLines/>
              <w:spacing w:after="0" w:line="240" w:lineRule="auto"/>
            </w:pPr>
            <w:r>
              <w:rPr>
                <w:sz w:val="18"/>
              </w:rPr>
              <w:t>34</w:t>
            </w:r>
          </w:p>
        </w:tc>
        <w:tc>
          <w:tcPr>
            <w:tcW w:w="1860" w:type="dxa"/>
            <w:tcMar>
              <w:top w:w="0" w:type="dxa"/>
              <w:bottom w:w="0" w:type="dxa"/>
            </w:tcMar>
            <w:vAlign w:val="center"/>
          </w:tcPr>
          <w:p w14:paraId="02465352" w14:textId="77777777" w:rsidR="000149DF" w:rsidRDefault="00000000">
            <w:pPr>
              <w:keepNext/>
              <w:keepLines/>
              <w:spacing w:after="0" w:line="240" w:lineRule="auto"/>
              <w:jc w:val="right"/>
            </w:pPr>
            <w:r>
              <w:rPr>
                <w:sz w:val="18"/>
              </w:rPr>
              <w:t>49.085,05</w:t>
            </w:r>
          </w:p>
        </w:tc>
        <w:tc>
          <w:tcPr>
            <w:tcW w:w="1860" w:type="dxa"/>
            <w:tcMar>
              <w:top w:w="0" w:type="dxa"/>
              <w:bottom w:w="0" w:type="dxa"/>
            </w:tcMar>
            <w:vAlign w:val="center"/>
          </w:tcPr>
          <w:p w14:paraId="5EF71CFF" w14:textId="77777777" w:rsidR="000149DF" w:rsidRDefault="00000000">
            <w:pPr>
              <w:keepNext/>
              <w:keepLines/>
              <w:spacing w:after="0" w:line="240" w:lineRule="auto"/>
              <w:jc w:val="right"/>
            </w:pPr>
            <w:r>
              <w:rPr>
                <w:sz w:val="18"/>
              </w:rPr>
              <w:t>40.467,07</w:t>
            </w:r>
          </w:p>
        </w:tc>
        <w:tc>
          <w:tcPr>
            <w:tcW w:w="700" w:type="dxa"/>
            <w:tcMar>
              <w:top w:w="0" w:type="dxa"/>
              <w:bottom w:w="0" w:type="dxa"/>
            </w:tcMar>
            <w:vAlign w:val="center"/>
          </w:tcPr>
          <w:p w14:paraId="492042EC" w14:textId="77777777" w:rsidR="000149DF" w:rsidRDefault="00000000">
            <w:pPr>
              <w:keepNext/>
              <w:keepLines/>
              <w:spacing w:after="0" w:line="240" w:lineRule="auto"/>
              <w:jc w:val="right"/>
            </w:pPr>
            <w:r>
              <w:rPr>
                <w:sz w:val="18"/>
              </w:rPr>
              <w:t>82,4</w:t>
            </w:r>
          </w:p>
        </w:tc>
      </w:tr>
    </w:tbl>
    <w:p w14:paraId="1CEA258F" w14:textId="77777777" w:rsidR="000149DF" w:rsidRDefault="000149DF">
      <w:pPr>
        <w:spacing w:after="0"/>
      </w:pPr>
    </w:p>
    <w:p w14:paraId="5DAFA801" w14:textId="77777777" w:rsidR="000149DF" w:rsidRDefault="00000000">
      <w:r>
        <w:t>Financijski rashodi izvršeni su na razini 82,4%  prethode godine iz razloga jer su u 2024. godini plaćeni rashodi koji se odnose se na isplatu umirovljeničkog standarda za 2023. i za 2024. godinu.</w:t>
      </w:r>
    </w:p>
    <w:p w14:paraId="36CD0C06" w14:textId="77777777" w:rsidR="000149DF" w:rsidRDefault="000149DF"/>
    <w:p w14:paraId="73531DF7" w14:textId="77777777" w:rsidR="000149DF" w:rsidRDefault="00000000">
      <w:pPr>
        <w:keepNext/>
        <w:spacing w:line="240" w:lineRule="auto"/>
        <w:jc w:val="center"/>
      </w:pPr>
      <w:r>
        <w:rPr>
          <w:sz w:val="28"/>
        </w:rPr>
        <w:t>Bilješka 30.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B17353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6B17A20"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1A6FEF4"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E8FD4F9"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EEA1186"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4AF1CF1"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CF62C88" w14:textId="77777777" w:rsidR="000149DF" w:rsidRDefault="00000000">
            <w:pPr>
              <w:keepNext/>
              <w:keepLines/>
              <w:spacing w:after="0" w:line="240" w:lineRule="auto"/>
              <w:jc w:val="center"/>
            </w:pPr>
            <w:r>
              <w:rPr>
                <w:b/>
                <w:sz w:val="18"/>
              </w:rPr>
              <w:t>Indeks (%)</w:t>
            </w:r>
          </w:p>
        </w:tc>
      </w:tr>
      <w:tr w:rsidR="000149DF" w14:paraId="67C403EC" w14:textId="77777777">
        <w:tblPrEx>
          <w:tblCellMar>
            <w:top w:w="0" w:type="dxa"/>
            <w:bottom w:w="0" w:type="dxa"/>
          </w:tblCellMar>
        </w:tblPrEx>
        <w:trPr>
          <w:cantSplit/>
          <w:trHeight w:val="560"/>
        </w:trPr>
        <w:tc>
          <w:tcPr>
            <w:tcW w:w="700" w:type="dxa"/>
            <w:tcMar>
              <w:top w:w="0" w:type="dxa"/>
              <w:bottom w:w="0" w:type="dxa"/>
            </w:tcMar>
            <w:vAlign w:val="center"/>
          </w:tcPr>
          <w:p w14:paraId="7461A10C" w14:textId="77777777" w:rsidR="000149DF" w:rsidRDefault="00000000">
            <w:pPr>
              <w:keepNext/>
              <w:keepLines/>
              <w:spacing w:after="0" w:line="240" w:lineRule="auto"/>
            </w:pPr>
            <w:r>
              <w:rPr>
                <w:sz w:val="18"/>
              </w:rPr>
              <w:t>3512</w:t>
            </w:r>
          </w:p>
        </w:tc>
        <w:tc>
          <w:tcPr>
            <w:tcW w:w="3180" w:type="dxa"/>
            <w:tcMar>
              <w:top w:w="0" w:type="dxa"/>
              <w:bottom w:w="0" w:type="dxa"/>
            </w:tcMar>
            <w:vAlign w:val="center"/>
          </w:tcPr>
          <w:p w14:paraId="606C455D" w14:textId="77777777" w:rsidR="000149DF" w:rsidRDefault="00000000">
            <w:pPr>
              <w:keepNext/>
              <w:keepLines/>
              <w:spacing w:after="0" w:line="240" w:lineRule="auto"/>
            </w:pPr>
            <w:r>
              <w:rPr>
                <w:sz w:val="18"/>
              </w:rPr>
              <w:t>Subvencije trgovačkim društvima u javnom sektoru</w:t>
            </w:r>
          </w:p>
        </w:tc>
        <w:tc>
          <w:tcPr>
            <w:tcW w:w="700" w:type="dxa"/>
            <w:tcMar>
              <w:top w:w="0" w:type="dxa"/>
              <w:bottom w:w="0" w:type="dxa"/>
            </w:tcMar>
            <w:vAlign w:val="center"/>
          </w:tcPr>
          <w:p w14:paraId="34ADF24D" w14:textId="77777777" w:rsidR="000149DF" w:rsidRDefault="00000000">
            <w:pPr>
              <w:keepNext/>
              <w:keepLines/>
              <w:spacing w:after="0" w:line="240" w:lineRule="auto"/>
            </w:pPr>
            <w:r>
              <w:rPr>
                <w:sz w:val="18"/>
              </w:rPr>
              <w:t>3512</w:t>
            </w:r>
          </w:p>
        </w:tc>
        <w:tc>
          <w:tcPr>
            <w:tcW w:w="1860" w:type="dxa"/>
            <w:tcMar>
              <w:top w:w="0" w:type="dxa"/>
              <w:bottom w:w="0" w:type="dxa"/>
            </w:tcMar>
            <w:vAlign w:val="center"/>
          </w:tcPr>
          <w:p w14:paraId="103554EF" w14:textId="77777777" w:rsidR="000149DF" w:rsidRDefault="00000000">
            <w:pPr>
              <w:keepNext/>
              <w:keepLines/>
              <w:spacing w:after="0" w:line="240" w:lineRule="auto"/>
              <w:jc w:val="right"/>
            </w:pPr>
            <w:r>
              <w:rPr>
                <w:sz w:val="18"/>
              </w:rPr>
              <w:t>381.186,40</w:t>
            </w:r>
          </w:p>
        </w:tc>
        <w:tc>
          <w:tcPr>
            <w:tcW w:w="1860" w:type="dxa"/>
            <w:tcMar>
              <w:top w:w="0" w:type="dxa"/>
              <w:bottom w:w="0" w:type="dxa"/>
            </w:tcMar>
            <w:vAlign w:val="center"/>
          </w:tcPr>
          <w:p w14:paraId="690809F2" w14:textId="77777777" w:rsidR="000149DF" w:rsidRDefault="00000000">
            <w:pPr>
              <w:keepNext/>
              <w:keepLines/>
              <w:spacing w:after="0" w:line="240" w:lineRule="auto"/>
              <w:jc w:val="right"/>
            </w:pPr>
            <w:r>
              <w:rPr>
                <w:sz w:val="18"/>
              </w:rPr>
              <w:t>414.005,67</w:t>
            </w:r>
          </w:p>
        </w:tc>
        <w:tc>
          <w:tcPr>
            <w:tcW w:w="700" w:type="dxa"/>
            <w:tcMar>
              <w:top w:w="0" w:type="dxa"/>
              <w:bottom w:w="0" w:type="dxa"/>
            </w:tcMar>
            <w:vAlign w:val="center"/>
          </w:tcPr>
          <w:p w14:paraId="747280CC" w14:textId="77777777" w:rsidR="000149DF" w:rsidRDefault="00000000">
            <w:pPr>
              <w:keepNext/>
              <w:keepLines/>
              <w:spacing w:after="0" w:line="240" w:lineRule="auto"/>
              <w:jc w:val="right"/>
            </w:pPr>
            <w:r>
              <w:rPr>
                <w:sz w:val="18"/>
              </w:rPr>
              <w:t>108,6</w:t>
            </w:r>
          </w:p>
        </w:tc>
      </w:tr>
    </w:tbl>
    <w:p w14:paraId="65D771A3" w14:textId="77777777" w:rsidR="000149DF" w:rsidRDefault="000149DF">
      <w:pPr>
        <w:spacing w:after="0"/>
      </w:pPr>
    </w:p>
    <w:p w14:paraId="152F728D" w14:textId="77777777" w:rsidR="000149DF" w:rsidRDefault="00000000">
      <w:r>
        <w:t>Subvencije  trgovačkim društvima u javnom sektoru odnose se na subvenciju Centru za poduzetništvo u iznosu od 188.269,00 € i Agenciji za gospodarenje otpadom u iznosu od 225.736,67 €.</w:t>
      </w:r>
    </w:p>
    <w:p w14:paraId="584A5A1F" w14:textId="77777777" w:rsidR="000149DF" w:rsidRDefault="000149DF"/>
    <w:p w14:paraId="37703B5E" w14:textId="77777777" w:rsidR="000149DF" w:rsidRDefault="00000000">
      <w:pPr>
        <w:keepNext/>
        <w:spacing w:line="240" w:lineRule="auto"/>
        <w:jc w:val="center"/>
      </w:pPr>
      <w:r>
        <w:rPr>
          <w:sz w:val="28"/>
        </w:rPr>
        <w:lastRenderedPageBreak/>
        <w:t>Bilješka 31.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7AEC50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7A25266"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93FF74F"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5FF6CE4"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3011C7A"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CAE5042"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649C8F2" w14:textId="77777777" w:rsidR="000149DF" w:rsidRDefault="00000000">
            <w:pPr>
              <w:keepNext/>
              <w:keepLines/>
              <w:spacing w:after="0" w:line="240" w:lineRule="auto"/>
              <w:jc w:val="center"/>
            </w:pPr>
            <w:r>
              <w:rPr>
                <w:b/>
                <w:sz w:val="18"/>
              </w:rPr>
              <w:t>Indeks (%)</w:t>
            </w:r>
          </w:p>
        </w:tc>
      </w:tr>
      <w:tr w:rsidR="000149DF" w14:paraId="25303402" w14:textId="77777777">
        <w:tblPrEx>
          <w:tblCellMar>
            <w:top w:w="0" w:type="dxa"/>
            <w:bottom w:w="0" w:type="dxa"/>
          </w:tblCellMar>
        </w:tblPrEx>
        <w:trPr>
          <w:cantSplit/>
          <w:trHeight w:val="560"/>
        </w:trPr>
        <w:tc>
          <w:tcPr>
            <w:tcW w:w="700" w:type="dxa"/>
            <w:tcMar>
              <w:top w:w="0" w:type="dxa"/>
              <w:bottom w:w="0" w:type="dxa"/>
            </w:tcMar>
            <w:vAlign w:val="center"/>
          </w:tcPr>
          <w:p w14:paraId="36C89014" w14:textId="77777777" w:rsidR="000149DF" w:rsidRDefault="00000000">
            <w:pPr>
              <w:keepNext/>
              <w:keepLines/>
              <w:spacing w:after="0" w:line="240" w:lineRule="auto"/>
            </w:pPr>
            <w:r>
              <w:rPr>
                <w:sz w:val="18"/>
              </w:rPr>
              <w:t>3661</w:t>
            </w:r>
          </w:p>
        </w:tc>
        <w:tc>
          <w:tcPr>
            <w:tcW w:w="3180" w:type="dxa"/>
            <w:tcMar>
              <w:top w:w="0" w:type="dxa"/>
              <w:bottom w:w="0" w:type="dxa"/>
            </w:tcMar>
            <w:vAlign w:val="center"/>
          </w:tcPr>
          <w:p w14:paraId="474C2B81" w14:textId="77777777" w:rsidR="000149DF" w:rsidRDefault="00000000">
            <w:pPr>
              <w:keepNext/>
              <w:keepLines/>
              <w:spacing w:after="0" w:line="240" w:lineRule="auto"/>
            </w:pPr>
            <w:r>
              <w:rPr>
                <w:sz w:val="18"/>
              </w:rPr>
              <w:t>Tekuće pomoći proračunskim korisnicima drugih proračuna</w:t>
            </w:r>
          </w:p>
        </w:tc>
        <w:tc>
          <w:tcPr>
            <w:tcW w:w="700" w:type="dxa"/>
            <w:tcMar>
              <w:top w:w="0" w:type="dxa"/>
              <w:bottom w:w="0" w:type="dxa"/>
            </w:tcMar>
            <w:vAlign w:val="center"/>
          </w:tcPr>
          <w:p w14:paraId="502DBE57" w14:textId="77777777" w:rsidR="000149DF" w:rsidRDefault="00000000">
            <w:pPr>
              <w:keepNext/>
              <w:keepLines/>
              <w:spacing w:after="0" w:line="240" w:lineRule="auto"/>
            </w:pPr>
            <w:r>
              <w:rPr>
                <w:sz w:val="18"/>
              </w:rPr>
              <w:t>3661</w:t>
            </w:r>
          </w:p>
        </w:tc>
        <w:tc>
          <w:tcPr>
            <w:tcW w:w="1860" w:type="dxa"/>
            <w:tcMar>
              <w:top w:w="0" w:type="dxa"/>
              <w:bottom w:w="0" w:type="dxa"/>
            </w:tcMar>
            <w:vAlign w:val="center"/>
          </w:tcPr>
          <w:p w14:paraId="05EBFE94" w14:textId="77777777" w:rsidR="000149DF" w:rsidRDefault="00000000">
            <w:pPr>
              <w:keepNext/>
              <w:keepLines/>
              <w:spacing w:after="0" w:line="240" w:lineRule="auto"/>
              <w:jc w:val="right"/>
            </w:pPr>
            <w:r>
              <w:rPr>
                <w:sz w:val="18"/>
              </w:rPr>
              <w:t>227.334,98</w:t>
            </w:r>
          </w:p>
        </w:tc>
        <w:tc>
          <w:tcPr>
            <w:tcW w:w="1860" w:type="dxa"/>
            <w:tcMar>
              <w:top w:w="0" w:type="dxa"/>
              <w:bottom w:w="0" w:type="dxa"/>
            </w:tcMar>
            <w:vAlign w:val="center"/>
          </w:tcPr>
          <w:p w14:paraId="4992279E" w14:textId="77777777" w:rsidR="000149DF" w:rsidRDefault="00000000">
            <w:pPr>
              <w:keepNext/>
              <w:keepLines/>
              <w:spacing w:after="0" w:line="240" w:lineRule="auto"/>
              <w:jc w:val="right"/>
            </w:pPr>
            <w:r>
              <w:rPr>
                <w:sz w:val="18"/>
              </w:rPr>
              <w:t>322.988,84</w:t>
            </w:r>
          </w:p>
        </w:tc>
        <w:tc>
          <w:tcPr>
            <w:tcW w:w="700" w:type="dxa"/>
            <w:tcMar>
              <w:top w:w="0" w:type="dxa"/>
              <w:bottom w:w="0" w:type="dxa"/>
            </w:tcMar>
            <w:vAlign w:val="center"/>
          </w:tcPr>
          <w:p w14:paraId="0706A68D" w14:textId="77777777" w:rsidR="000149DF" w:rsidRDefault="00000000">
            <w:pPr>
              <w:keepNext/>
              <w:keepLines/>
              <w:spacing w:after="0" w:line="240" w:lineRule="auto"/>
              <w:jc w:val="right"/>
            </w:pPr>
            <w:r>
              <w:rPr>
                <w:sz w:val="18"/>
              </w:rPr>
              <w:t>142,1</w:t>
            </w:r>
          </w:p>
        </w:tc>
      </w:tr>
    </w:tbl>
    <w:p w14:paraId="454800D3" w14:textId="77777777" w:rsidR="000149DF" w:rsidRDefault="000149DF">
      <w:pPr>
        <w:spacing w:after="0"/>
      </w:pPr>
    </w:p>
    <w:p w14:paraId="76547F28" w14:textId="77777777" w:rsidR="000149DF" w:rsidRDefault="00000000">
      <w:r>
        <w:t>Tekuće pomoći proračunskim korisnicima drugih proračuna raspoređene su:</w:t>
      </w:r>
    </w:p>
    <w:p w14:paraId="229F1FF0" w14:textId="77777777" w:rsidR="000149DF" w:rsidRDefault="00000000">
      <w:pPr>
        <w:pStyle w:val="ListParagraph"/>
        <w:numPr>
          <w:ilvl w:val="0"/>
          <w:numId w:val="1"/>
        </w:numPr>
      </w:pPr>
      <w:r>
        <w:t>Zavodu za obnovu Dubrovnika 58.637,60€ za sufinanciranje rada zavoda, </w:t>
      </w:r>
    </w:p>
    <w:p w14:paraId="4D98FE26" w14:textId="77777777" w:rsidR="000149DF" w:rsidRDefault="00000000">
      <w:pPr>
        <w:pStyle w:val="ListParagraph"/>
        <w:numPr>
          <w:ilvl w:val="0"/>
          <w:numId w:val="1"/>
        </w:numPr>
      </w:pPr>
      <w:r>
        <w:t>Dubrovačke Ljetne igre 100.000,00 € za sufinanciranje Dubrovačkih ljetnih igara,</w:t>
      </w:r>
    </w:p>
    <w:p w14:paraId="015AC7FB" w14:textId="77777777" w:rsidR="000149DF" w:rsidRDefault="00000000">
      <w:pPr>
        <w:pStyle w:val="ListParagraph"/>
        <w:numPr>
          <w:ilvl w:val="0"/>
          <w:numId w:val="1"/>
        </w:numPr>
      </w:pPr>
      <w:r>
        <w:t>Iz programa javnih potreba u kulturi raspoređen je iznos od 23.810,00 €,</w:t>
      </w:r>
    </w:p>
    <w:p w14:paraId="12B6A94D" w14:textId="77777777" w:rsidR="000149DF" w:rsidRDefault="00000000">
      <w:pPr>
        <w:pStyle w:val="ListParagraph"/>
        <w:numPr>
          <w:ilvl w:val="0"/>
          <w:numId w:val="1"/>
        </w:numPr>
      </w:pPr>
      <w:r>
        <w:t>OŠ Ivana Gundulića 1.308,83 € za natjecanje iz znanja učenika,</w:t>
      </w:r>
    </w:p>
    <w:p w14:paraId="04899C89" w14:textId="77777777" w:rsidR="000149DF" w:rsidRDefault="00000000">
      <w:pPr>
        <w:pStyle w:val="ListParagraph"/>
        <w:numPr>
          <w:ilvl w:val="0"/>
          <w:numId w:val="1"/>
        </w:numPr>
      </w:pPr>
      <w:r>
        <w:t>OŠ Montovjerna 2.677,38 € za natjecanja iz znanja učenika,</w:t>
      </w:r>
    </w:p>
    <w:p w14:paraId="2E46DD2B" w14:textId="77777777" w:rsidR="000149DF" w:rsidRDefault="00000000">
      <w:pPr>
        <w:pStyle w:val="ListParagraph"/>
        <w:numPr>
          <w:ilvl w:val="0"/>
          <w:numId w:val="1"/>
        </w:numPr>
      </w:pPr>
      <w:r>
        <w:t>Sveučilište u Dubrovniku 2.000,00 € za sufinanciranje Međunarodne znanstvene konferencije </w:t>
      </w:r>
    </w:p>
    <w:p w14:paraId="6F9F8EF3" w14:textId="77777777" w:rsidR="000149DF" w:rsidRDefault="00000000">
      <w:pPr>
        <w:pStyle w:val="ListParagraph"/>
        <w:numPr>
          <w:ilvl w:val="0"/>
          <w:numId w:val="1"/>
        </w:numPr>
      </w:pPr>
      <w:r>
        <w:t>Dubrovačkom simfonijskom orkestru 2.000,00 € za sufinanciranje Festival Stradun classic </w:t>
      </w:r>
    </w:p>
    <w:p w14:paraId="573BFE0B" w14:textId="77777777" w:rsidR="000149DF" w:rsidRDefault="00000000">
      <w:pPr>
        <w:pStyle w:val="ListParagraph"/>
        <w:numPr>
          <w:ilvl w:val="0"/>
          <w:numId w:val="1"/>
        </w:numPr>
      </w:pPr>
      <w:r>
        <w:t>Općoj bolnici Dubrovnik 34.376,80 € za refundaciju troškova stanovanja zdravstvenih djelatnika, 46.453,05 € za sufinanciranje školarine studija sestrinstva i 29.330,20 za refundaciju stanarine zdravstvenih djelatnika</w:t>
      </w:r>
    </w:p>
    <w:p w14:paraId="338DD4AC" w14:textId="77777777" w:rsidR="000149DF" w:rsidRDefault="00000000">
      <w:pPr>
        <w:pStyle w:val="ListParagraph"/>
        <w:numPr>
          <w:ilvl w:val="0"/>
          <w:numId w:val="1"/>
        </w:numPr>
      </w:pPr>
      <w:r>
        <w:t>po aktivnosti Prigodne potpore ustanovama socijalne skrbi iznos od 12.000,00 €</w:t>
      </w:r>
    </w:p>
    <w:p w14:paraId="63249ACE" w14:textId="77777777" w:rsidR="000149DF" w:rsidRDefault="00000000">
      <w:pPr>
        <w:pStyle w:val="ListParagraph"/>
        <w:numPr>
          <w:ilvl w:val="0"/>
          <w:numId w:val="1"/>
        </w:numPr>
      </w:pPr>
      <w:r>
        <w:t>Sveučilištu u Dubrovniku 500,00 € za sufinanciranje Međunarodne znanstvene konferencije dubrovački medijski dani 2025. godine</w:t>
      </w:r>
    </w:p>
    <w:p w14:paraId="0E53C640" w14:textId="77777777" w:rsidR="000149DF" w:rsidRDefault="00000000">
      <w:pPr>
        <w:pStyle w:val="ListParagraph"/>
        <w:numPr>
          <w:ilvl w:val="0"/>
          <w:numId w:val="1"/>
        </w:numPr>
      </w:pPr>
      <w:r>
        <w:t>Kazalište Marina Držića 500,00 € za gostovanje predstave Vidi kako Lokrum pere zube</w:t>
      </w:r>
    </w:p>
    <w:p w14:paraId="3EE950EE" w14:textId="77777777" w:rsidR="000149DF" w:rsidRDefault="00000000">
      <w:pPr>
        <w:pStyle w:val="ListParagraph"/>
        <w:numPr>
          <w:ilvl w:val="0"/>
          <w:numId w:val="1"/>
        </w:numPr>
      </w:pPr>
      <w:r>
        <w:t>Centru za rehabilitaciju Josipovac 9.394,98 € - Zaposlenjem do kvalitetnije skrbi.</w:t>
      </w:r>
    </w:p>
    <w:p w14:paraId="17D27F79" w14:textId="77777777" w:rsidR="000149DF" w:rsidRDefault="000149DF"/>
    <w:p w14:paraId="0171039A" w14:textId="77777777" w:rsidR="000149DF" w:rsidRDefault="00000000">
      <w:pPr>
        <w:keepNext/>
        <w:spacing w:line="240" w:lineRule="auto"/>
        <w:jc w:val="center"/>
      </w:pPr>
      <w:r>
        <w:rPr>
          <w:sz w:val="28"/>
        </w:rPr>
        <w:t>Bilješka 32.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D11A4C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7A3D8B9"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3BE30BD"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2608773"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C38F083"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F6FB21A"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B105820" w14:textId="77777777" w:rsidR="000149DF" w:rsidRDefault="00000000">
            <w:pPr>
              <w:keepNext/>
              <w:keepLines/>
              <w:spacing w:after="0" w:line="240" w:lineRule="auto"/>
              <w:jc w:val="center"/>
            </w:pPr>
            <w:r>
              <w:rPr>
                <w:b/>
                <w:sz w:val="18"/>
              </w:rPr>
              <w:t>Indeks (%)</w:t>
            </w:r>
          </w:p>
        </w:tc>
      </w:tr>
      <w:tr w:rsidR="000149DF" w14:paraId="127A03A3" w14:textId="77777777">
        <w:tblPrEx>
          <w:tblCellMar>
            <w:top w:w="0" w:type="dxa"/>
            <w:bottom w:w="0" w:type="dxa"/>
          </w:tblCellMar>
        </w:tblPrEx>
        <w:trPr>
          <w:cantSplit/>
          <w:trHeight w:val="560"/>
        </w:trPr>
        <w:tc>
          <w:tcPr>
            <w:tcW w:w="700" w:type="dxa"/>
            <w:tcMar>
              <w:top w:w="0" w:type="dxa"/>
              <w:bottom w:w="0" w:type="dxa"/>
            </w:tcMar>
            <w:vAlign w:val="center"/>
          </w:tcPr>
          <w:p w14:paraId="28EC633B" w14:textId="77777777" w:rsidR="000149DF" w:rsidRDefault="00000000">
            <w:pPr>
              <w:keepNext/>
              <w:keepLines/>
              <w:spacing w:after="0" w:line="240" w:lineRule="auto"/>
            </w:pPr>
            <w:r>
              <w:rPr>
                <w:sz w:val="18"/>
              </w:rPr>
              <w:t>3662</w:t>
            </w:r>
          </w:p>
        </w:tc>
        <w:tc>
          <w:tcPr>
            <w:tcW w:w="3180" w:type="dxa"/>
            <w:tcMar>
              <w:top w:w="0" w:type="dxa"/>
              <w:bottom w:w="0" w:type="dxa"/>
            </w:tcMar>
            <w:vAlign w:val="center"/>
          </w:tcPr>
          <w:p w14:paraId="0FA79398" w14:textId="77777777" w:rsidR="000149DF" w:rsidRDefault="00000000">
            <w:pPr>
              <w:keepNext/>
              <w:keepLines/>
              <w:spacing w:after="0" w:line="240" w:lineRule="auto"/>
            </w:pPr>
            <w:r>
              <w:rPr>
                <w:sz w:val="18"/>
              </w:rPr>
              <w:t>Kapitalne pomoći proračunskim korisnicima drugih proračuna</w:t>
            </w:r>
          </w:p>
        </w:tc>
        <w:tc>
          <w:tcPr>
            <w:tcW w:w="700" w:type="dxa"/>
            <w:tcMar>
              <w:top w:w="0" w:type="dxa"/>
              <w:bottom w:w="0" w:type="dxa"/>
            </w:tcMar>
            <w:vAlign w:val="center"/>
          </w:tcPr>
          <w:p w14:paraId="2AD5FACC" w14:textId="77777777" w:rsidR="000149DF" w:rsidRDefault="00000000">
            <w:pPr>
              <w:keepNext/>
              <w:keepLines/>
              <w:spacing w:after="0" w:line="240" w:lineRule="auto"/>
            </w:pPr>
            <w:r>
              <w:rPr>
                <w:sz w:val="18"/>
              </w:rPr>
              <w:t>3662</w:t>
            </w:r>
          </w:p>
        </w:tc>
        <w:tc>
          <w:tcPr>
            <w:tcW w:w="1860" w:type="dxa"/>
            <w:tcMar>
              <w:top w:w="0" w:type="dxa"/>
              <w:bottom w:w="0" w:type="dxa"/>
            </w:tcMar>
            <w:vAlign w:val="center"/>
          </w:tcPr>
          <w:p w14:paraId="6E033002" w14:textId="77777777" w:rsidR="000149DF" w:rsidRDefault="00000000">
            <w:pPr>
              <w:keepNext/>
              <w:keepLines/>
              <w:spacing w:after="0" w:line="240" w:lineRule="auto"/>
              <w:jc w:val="right"/>
            </w:pPr>
            <w:r>
              <w:rPr>
                <w:sz w:val="18"/>
              </w:rPr>
              <w:t>19.413,62</w:t>
            </w:r>
          </w:p>
        </w:tc>
        <w:tc>
          <w:tcPr>
            <w:tcW w:w="1860" w:type="dxa"/>
            <w:tcMar>
              <w:top w:w="0" w:type="dxa"/>
              <w:bottom w:w="0" w:type="dxa"/>
            </w:tcMar>
            <w:vAlign w:val="center"/>
          </w:tcPr>
          <w:p w14:paraId="0B55BD02" w14:textId="77777777" w:rsidR="000149DF" w:rsidRDefault="00000000">
            <w:pPr>
              <w:keepNext/>
              <w:keepLines/>
              <w:spacing w:after="0" w:line="240" w:lineRule="auto"/>
              <w:jc w:val="right"/>
            </w:pPr>
            <w:r>
              <w:rPr>
                <w:sz w:val="18"/>
              </w:rPr>
              <w:t>0,00</w:t>
            </w:r>
          </w:p>
        </w:tc>
        <w:tc>
          <w:tcPr>
            <w:tcW w:w="700" w:type="dxa"/>
            <w:tcMar>
              <w:top w:w="0" w:type="dxa"/>
              <w:bottom w:w="0" w:type="dxa"/>
            </w:tcMar>
            <w:vAlign w:val="center"/>
          </w:tcPr>
          <w:p w14:paraId="7340A800" w14:textId="77777777" w:rsidR="000149DF" w:rsidRDefault="00000000">
            <w:pPr>
              <w:keepNext/>
              <w:keepLines/>
              <w:spacing w:after="0" w:line="240" w:lineRule="auto"/>
              <w:jc w:val="right"/>
            </w:pPr>
            <w:r>
              <w:rPr>
                <w:sz w:val="18"/>
              </w:rPr>
              <w:t>0</w:t>
            </w:r>
          </w:p>
        </w:tc>
      </w:tr>
    </w:tbl>
    <w:p w14:paraId="6DEA2C99" w14:textId="77777777" w:rsidR="000149DF" w:rsidRDefault="000149DF">
      <w:pPr>
        <w:spacing w:after="0"/>
      </w:pPr>
    </w:p>
    <w:p w14:paraId="4BBDE61D" w14:textId="77777777" w:rsidR="000149DF" w:rsidRDefault="00000000">
      <w:r>
        <w:t>Kapitalne pomoći proračunskim korisnicima drugih proračuna u 2025. godini nemaju izvršenje jer je EU projekt TAKE IT SLOW  završio u 2024. godini i nije bilo doznačavanja sredstava partnerima na projektu.</w:t>
      </w:r>
    </w:p>
    <w:p w14:paraId="4F31BC2D" w14:textId="77777777" w:rsidR="000149DF" w:rsidRDefault="000149DF"/>
    <w:p w14:paraId="420CFBCA" w14:textId="77777777" w:rsidR="000149DF" w:rsidRDefault="00000000">
      <w:pPr>
        <w:keepNext/>
        <w:spacing w:line="240" w:lineRule="auto"/>
        <w:jc w:val="center"/>
      </w:pPr>
      <w:r>
        <w:rPr>
          <w:sz w:val="28"/>
        </w:rPr>
        <w:t>Bilješka 33.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3B3931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7244E60"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6DF7220"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529E069"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292EB1F"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952C8F8"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7F4C197" w14:textId="77777777" w:rsidR="000149DF" w:rsidRDefault="00000000">
            <w:pPr>
              <w:keepNext/>
              <w:keepLines/>
              <w:spacing w:after="0" w:line="240" w:lineRule="auto"/>
              <w:jc w:val="center"/>
            </w:pPr>
            <w:r>
              <w:rPr>
                <w:b/>
                <w:sz w:val="18"/>
              </w:rPr>
              <w:t>Indeks (%)</w:t>
            </w:r>
          </w:p>
        </w:tc>
      </w:tr>
      <w:tr w:rsidR="000149DF" w14:paraId="6BBF58B2" w14:textId="77777777">
        <w:tblPrEx>
          <w:tblCellMar>
            <w:top w:w="0" w:type="dxa"/>
            <w:bottom w:w="0" w:type="dxa"/>
          </w:tblCellMar>
        </w:tblPrEx>
        <w:trPr>
          <w:cantSplit/>
          <w:trHeight w:val="560"/>
        </w:trPr>
        <w:tc>
          <w:tcPr>
            <w:tcW w:w="700" w:type="dxa"/>
            <w:tcMar>
              <w:top w:w="0" w:type="dxa"/>
              <w:bottom w:w="0" w:type="dxa"/>
            </w:tcMar>
            <w:vAlign w:val="center"/>
          </w:tcPr>
          <w:p w14:paraId="7B200139" w14:textId="77777777" w:rsidR="000149DF" w:rsidRDefault="00000000">
            <w:pPr>
              <w:keepNext/>
              <w:keepLines/>
              <w:spacing w:after="0" w:line="240" w:lineRule="auto"/>
            </w:pPr>
            <w:r>
              <w:rPr>
                <w:sz w:val="18"/>
              </w:rPr>
              <w:t>3681</w:t>
            </w:r>
          </w:p>
        </w:tc>
        <w:tc>
          <w:tcPr>
            <w:tcW w:w="3180" w:type="dxa"/>
            <w:tcMar>
              <w:top w:w="0" w:type="dxa"/>
              <w:bottom w:w="0" w:type="dxa"/>
            </w:tcMar>
            <w:vAlign w:val="center"/>
          </w:tcPr>
          <w:p w14:paraId="15DBD64E" w14:textId="77777777" w:rsidR="000149DF" w:rsidRDefault="00000000">
            <w:pPr>
              <w:keepNext/>
              <w:keepLines/>
              <w:spacing w:after="0" w:line="240" w:lineRule="auto"/>
            </w:pPr>
            <w:r>
              <w:rPr>
                <w:sz w:val="18"/>
              </w:rPr>
              <w:t>Tekuće pomoći temeljem prijenosa EU sredstava</w:t>
            </w:r>
          </w:p>
        </w:tc>
        <w:tc>
          <w:tcPr>
            <w:tcW w:w="700" w:type="dxa"/>
            <w:tcMar>
              <w:top w:w="0" w:type="dxa"/>
              <w:bottom w:w="0" w:type="dxa"/>
            </w:tcMar>
            <w:vAlign w:val="center"/>
          </w:tcPr>
          <w:p w14:paraId="2DB925B6" w14:textId="77777777" w:rsidR="000149DF" w:rsidRDefault="00000000">
            <w:pPr>
              <w:keepNext/>
              <w:keepLines/>
              <w:spacing w:after="0" w:line="240" w:lineRule="auto"/>
            </w:pPr>
            <w:r>
              <w:rPr>
                <w:sz w:val="18"/>
              </w:rPr>
              <w:t>3681</w:t>
            </w:r>
          </w:p>
        </w:tc>
        <w:tc>
          <w:tcPr>
            <w:tcW w:w="1860" w:type="dxa"/>
            <w:tcMar>
              <w:top w:w="0" w:type="dxa"/>
              <w:bottom w:w="0" w:type="dxa"/>
            </w:tcMar>
            <w:vAlign w:val="center"/>
          </w:tcPr>
          <w:p w14:paraId="32E87383" w14:textId="77777777" w:rsidR="000149DF" w:rsidRDefault="00000000">
            <w:pPr>
              <w:keepNext/>
              <w:keepLines/>
              <w:spacing w:after="0" w:line="240" w:lineRule="auto"/>
              <w:jc w:val="right"/>
            </w:pPr>
            <w:r>
              <w:rPr>
                <w:sz w:val="18"/>
              </w:rPr>
              <w:t>185.373,56</w:t>
            </w:r>
          </w:p>
        </w:tc>
        <w:tc>
          <w:tcPr>
            <w:tcW w:w="1860" w:type="dxa"/>
            <w:tcMar>
              <w:top w:w="0" w:type="dxa"/>
              <w:bottom w:w="0" w:type="dxa"/>
            </w:tcMar>
            <w:vAlign w:val="center"/>
          </w:tcPr>
          <w:p w14:paraId="1AA42B81" w14:textId="77777777" w:rsidR="000149DF" w:rsidRDefault="00000000">
            <w:pPr>
              <w:keepNext/>
              <w:keepLines/>
              <w:spacing w:after="0" w:line="240" w:lineRule="auto"/>
              <w:jc w:val="right"/>
            </w:pPr>
            <w:r>
              <w:rPr>
                <w:sz w:val="18"/>
              </w:rPr>
              <w:t>83.008,63</w:t>
            </w:r>
          </w:p>
        </w:tc>
        <w:tc>
          <w:tcPr>
            <w:tcW w:w="700" w:type="dxa"/>
            <w:tcMar>
              <w:top w:w="0" w:type="dxa"/>
              <w:bottom w:w="0" w:type="dxa"/>
            </w:tcMar>
            <w:vAlign w:val="center"/>
          </w:tcPr>
          <w:p w14:paraId="2725AF35" w14:textId="77777777" w:rsidR="000149DF" w:rsidRDefault="00000000">
            <w:pPr>
              <w:keepNext/>
              <w:keepLines/>
              <w:spacing w:after="0" w:line="240" w:lineRule="auto"/>
              <w:jc w:val="right"/>
            </w:pPr>
            <w:r>
              <w:rPr>
                <w:sz w:val="18"/>
              </w:rPr>
              <w:t>44,8</w:t>
            </w:r>
          </w:p>
        </w:tc>
      </w:tr>
    </w:tbl>
    <w:p w14:paraId="26BA99B4" w14:textId="77777777" w:rsidR="000149DF" w:rsidRDefault="000149DF">
      <w:pPr>
        <w:spacing w:after="0"/>
      </w:pPr>
    </w:p>
    <w:p w14:paraId="5FA75DBD" w14:textId="77777777" w:rsidR="000149DF" w:rsidRDefault="00000000">
      <w:r>
        <w:lastRenderedPageBreak/>
        <w:t>Iznos od 9.265,12 € – odnosi se na isplatu Sveučilištu u Splitu partneru na EU projektu MoWaCLIM - uspostava jedinstvenih, višerazinskih rješenja za prilagodbu poljoprivredne proizvodnje na klimatske promjene. Iznos od 73.743,51 € odnosi se na isplatu Hrvatskoj agenciji za poljoprivredu i hranu partneru na EU projektu MoWaCLIM - uspostava jedinstvenih, višerazinskih rješenja za prilagodbu poljoprivredne proizvodnje na klimatske promjene.</w:t>
      </w:r>
    </w:p>
    <w:p w14:paraId="32C40336" w14:textId="77777777" w:rsidR="000149DF" w:rsidRDefault="000149DF"/>
    <w:p w14:paraId="24BC0982" w14:textId="77777777" w:rsidR="000149DF" w:rsidRDefault="00000000">
      <w:pPr>
        <w:keepNext/>
        <w:spacing w:line="240" w:lineRule="auto"/>
        <w:jc w:val="center"/>
      </w:pPr>
      <w:r>
        <w:rPr>
          <w:sz w:val="28"/>
        </w:rPr>
        <w:t>Bilješka 34.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6546EE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CC5805D"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FDA5C35"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71030BA"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32A1062"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FC35E02"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4FA6DD5" w14:textId="77777777" w:rsidR="000149DF" w:rsidRDefault="00000000">
            <w:pPr>
              <w:keepNext/>
              <w:keepLines/>
              <w:spacing w:after="0" w:line="240" w:lineRule="auto"/>
              <w:jc w:val="center"/>
            </w:pPr>
            <w:r>
              <w:rPr>
                <w:b/>
                <w:sz w:val="18"/>
              </w:rPr>
              <w:t>Indeks (%)</w:t>
            </w:r>
          </w:p>
        </w:tc>
      </w:tr>
      <w:tr w:rsidR="000149DF" w14:paraId="56FD14C2" w14:textId="77777777">
        <w:tblPrEx>
          <w:tblCellMar>
            <w:top w:w="0" w:type="dxa"/>
            <w:bottom w:w="0" w:type="dxa"/>
          </w:tblCellMar>
        </w:tblPrEx>
        <w:trPr>
          <w:cantSplit/>
          <w:trHeight w:val="560"/>
        </w:trPr>
        <w:tc>
          <w:tcPr>
            <w:tcW w:w="700" w:type="dxa"/>
            <w:tcMar>
              <w:top w:w="0" w:type="dxa"/>
              <w:bottom w:w="0" w:type="dxa"/>
            </w:tcMar>
            <w:vAlign w:val="center"/>
          </w:tcPr>
          <w:p w14:paraId="20305F2E" w14:textId="77777777" w:rsidR="000149DF" w:rsidRDefault="00000000">
            <w:pPr>
              <w:keepNext/>
              <w:keepLines/>
              <w:spacing w:after="0" w:line="240" w:lineRule="auto"/>
            </w:pPr>
            <w:r>
              <w:rPr>
                <w:sz w:val="18"/>
              </w:rPr>
              <w:t>3682</w:t>
            </w:r>
          </w:p>
        </w:tc>
        <w:tc>
          <w:tcPr>
            <w:tcW w:w="3180" w:type="dxa"/>
            <w:tcMar>
              <w:top w:w="0" w:type="dxa"/>
              <w:bottom w:w="0" w:type="dxa"/>
            </w:tcMar>
            <w:vAlign w:val="center"/>
          </w:tcPr>
          <w:p w14:paraId="7AC01C88" w14:textId="77777777" w:rsidR="000149DF" w:rsidRDefault="00000000">
            <w:pPr>
              <w:keepNext/>
              <w:keepLines/>
              <w:spacing w:after="0" w:line="240" w:lineRule="auto"/>
            </w:pPr>
            <w:r>
              <w:rPr>
                <w:sz w:val="18"/>
              </w:rPr>
              <w:t>Kapitalne pomoći temeljem prijenosa EU sredstava</w:t>
            </w:r>
          </w:p>
        </w:tc>
        <w:tc>
          <w:tcPr>
            <w:tcW w:w="700" w:type="dxa"/>
            <w:tcMar>
              <w:top w:w="0" w:type="dxa"/>
              <w:bottom w:w="0" w:type="dxa"/>
            </w:tcMar>
            <w:vAlign w:val="center"/>
          </w:tcPr>
          <w:p w14:paraId="37138FC8" w14:textId="77777777" w:rsidR="000149DF" w:rsidRDefault="00000000">
            <w:pPr>
              <w:keepNext/>
              <w:keepLines/>
              <w:spacing w:after="0" w:line="240" w:lineRule="auto"/>
            </w:pPr>
            <w:r>
              <w:rPr>
                <w:sz w:val="18"/>
              </w:rPr>
              <w:t>3682</w:t>
            </w:r>
          </w:p>
        </w:tc>
        <w:tc>
          <w:tcPr>
            <w:tcW w:w="1860" w:type="dxa"/>
            <w:tcMar>
              <w:top w:w="0" w:type="dxa"/>
              <w:bottom w:w="0" w:type="dxa"/>
            </w:tcMar>
            <w:vAlign w:val="center"/>
          </w:tcPr>
          <w:p w14:paraId="047FC799" w14:textId="77777777" w:rsidR="000149DF" w:rsidRDefault="00000000">
            <w:pPr>
              <w:keepNext/>
              <w:keepLines/>
              <w:spacing w:after="0" w:line="240" w:lineRule="auto"/>
              <w:jc w:val="right"/>
            </w:pPr>
            <w:r>
              <w:rPr>
                <w:sz w:val="18"/>
              </w:rPr>
              <w:t>342.988,57</w:t>
            </w:r>
          </w:p>
        </w:tc>
        <w:tc>
          <w:tcPr>
            <w:tcW w:w="1860" w:type="dxa"/>
            <w:tcMar>
              <w:top w:w="0" w:type="dxa"/>
              <w:bottom w:w="0" w:type="dxa"/>
            </w:tcMar>
            <w:vAlign w:val="center"/>
          </w:tcPr>
          <w:p w14:paraId="3518E730" w14:textId="77777777" w:rsidR="000149DF" w:rsidRDefault="00000000">
            <w:pPr>
              <w:keepNext/>
              <w:keepLines/>
              <w:spacing w:after="0" w:line="240" w:lineRule="auto"/>
              <w:jc w:val="right"/>
            </w:pPr>
            <w:r>
              <w:rPr>
                <w:sz w:val="18"/>
              </w:rPr>
              <w:t>5.417.006,73</w:t>
            </w:r>
          </w:p>
        </w:tc>
        <w:tc>
          <w:tcPr>
            <w:tcW w:w="700" w:type="dxa"/>
            <w:tcMar>
              <w:top w:w="0" w:type="dxa"/>
              <w:bottom w:w="0" w:type="dxa"/>
            </w:tcMar>
            <w:vAlign w:val="center"/>
          </w:tcPr>
          <w:p w14:paraId="1769F588" w14:textId="77777777" w:rsidR="000149DF" w:rsidRDefault="00000000">
            <w:pPr>
              <w:keepNext/>
              <w:keepLines/>
              <w:spacing w:after="0" w:line="240" w:lineRule="auto"/>
              <w:jc w:val="right"/>
            </w:pPr>
            <w:r>
              <w:rPr>
                <w:sz w:val="18"/>
              </w:rPr>
              <w:t>1579,4</w:t>
            </w:r>
          </w:p>
        </w:tc>
      </w:tr>
    </w:tbl>
    <w:p w14:paraId="461232B7" w14:textId="77777777" w:rsidR="000149DF" w:rsidRDefault="000149DF">
      <w:pPr>
        <w:spacing w:after="0"/>
      </w:pPr>
    </w:p>
    <w:p w14:paraId="433060F6" w14:textId="77777777" w:rsidR="000149DF" w:rsidRDefault="00000000">
      <w:r>
        <w:t>Iznos od 5.417.006,73 odnosi se na isplatu Općini Konavle po EU projektu Izgradnja i opremanje osnovne škole Cavtat – novi projekt u 2025. godini</w:t>
      </w:r>
    </w:p>
    <w:p w14:paraId="320485F9" w14:textId="77777777" w:rsidR="000149DF" w:rsidRDefault="000149DF"/>
    <w:p w14:paraId="72947BAB" w14:textId="77777777" w:rsidR="000149DF" w:rsidRDefault="00000000">
      <w:pPr>
        <w:keepNext/>
        <w:spacing w:line="240" w:lineRule="auto"/>
        <w:jc w:val="center"/>
      </w:pPr>
      <w:r>
        <w:rPr>
          <w:sz w:val="28"/>
        </w:rPr>
        <w:t>Bilješka 35.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23DF622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55943A2"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C848914"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38B74F8"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8132A7B"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251891A"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D056AD0" w14:textId="77777777" w:rsidR="000149DF" w:rsidRDefault="00000000">
            <w:pPr>
              <w:keepNext/>
              <w:keepLines/>
              <w:spacing w:after="0" w:line="240" w:lineRule="auto"/>
              <w:jc w:val="center"/>
            </w:pPr>
            <w:r>
              <w:rPr>
                <w:b/>
                <w:sz w:val="18"/>
              </w:rPr>
              <w:t>Indeks (%)</w:t>
            </w:r>
          </w:p>
        </w:tc>
      </w:tr>
      <w:tr w:rsidR="000149DF" w14:paraId="2F624EE5" w14:textId="77777777">
        <w:tblPrEx>
          <w:tblCellMar>
            <w:top w:w="0" w:type="dxa"/>
            <w:bottom w:w="0" w:type="dxa"/>
          </w:tblCellMar>
        </w:tblPrEx>
        <w:trPr>
          <w:cantSplit/>
          <w:trHeight w:val="560"/>
        </w:trPr>
        <w:tc>
          <w:tcPr>
            <w:tcW w:w="700" w:type="dxa"/>
            <w:tcMar>
              <w:top w:w="0" w:type="dxa"/>
              <w:bottom w:w="0" w:type="dxa"/>
            </w:tcMar>
            <w:vAlign w:val="center"/>
          </w:tcPr>
          <w:p w14:paraId="4BC5C35C" w14:textId="77777777" w:rsidR="000149DF" w:rsidRDefault="00000000">
            <w:pPr>
              <w:keepNext/>
              <w:keepLines/>
              <w:spacing w:after="0" w:line="240" w:lineRule="auto"/>
            </w:pPr>
            <w:r>
              <w:rPr>
                <w:sz w:val="18"/>
              </w:rPr>
              <w:t>369</w:t>
            </w:r>
          </w:p>
        </w:tc>
        <w:tc>
          <w:tcPr>
            <w:tcW w:w="3180" w:type="dxa"/>
            <w:tcMar>
              <w:top w:w="0" w:type="dxa"/>
              <w:bottom w:w="0" w:type="dxa"/>
            </w:tcMar>
            <w:vAlign w:val="center"/>
          </w:tcPr>
          <w:p w14:paraId="7CE47068" w14:textId="77777777" w:rsidR="000149DF" w:rsidRDefault="00000000">
            <w:pPr>
              <w:keepNext/>
              <w:keepLines/>
              <w:spacing w:after="0" w:line="240" w:lineRule="auto"/>
            </w:pPr>
            <w:r>
              <w:rPr>
                <w:sz w:val="18"/>
              </w:rPr>
              <w:t>Prijenosi između proračunskih korisnika istog proračuna (šifre 3691 do 3694)</w:t>
            </w:r>
          </w:p>
        </w:tc>
        <w:tc>
          <w:tcPr>
            <w:tcW w:w="700" w:type="dxa"/>
            <w:tcMar>
              <w:top w:w="0" w:type="dxa"/>
              <w:bottom w:w="0" w:type="dxa"/>
            </w:tcMar>
            <w:vAlign w:val="center"/>
          </w:tcPr>
          <w:p w14:paraId="62B92EFB" w14:textId="77777777" w:rsidR="000149DF" w:rsidRDefault="00000000">
            <w:pPr>
              <w:keepNext/>
              <w:keepLines/>
              <w:spacing w:after="0" w:line="240" w:lineRule="auto"/>
            </w:pPr>
            <w:r>
              <w:rPr>
                <w:sz w:val="18"/>
              </w:rPr>
              <w:t>369</w:t>
            </w:r>
          </w:p>
        </w:tc>
        <w:tc>
          <w:tcPr>
            <w:tcW w:w="1860" w:type="dxa"/>
            <w:tcMar>
              <w:top w:w="0" w:type="dxa"/>
              <w:bottom w:w="0" w:type="dxa"/>
            </w:tcMar>
            <w:vAlign w:val="center"/>
          </w:tcPr>
          <w:p w14:paraId="754C2DEB" w14:textId="77777777" w:rsidR="000149DF" w:rsidRDefault="00000000">
            <w:pPr>
              <w:keepNext/>
              <w:keepLines/>
              <w:spacing w:after="0" w:line="240" w:lineRule="auto"/>
              <w:jc w:val="right"/>
            </w:pPr>
            <w:r>
              <w:rPr>
                <w:sz w:val="18"/>
              </w:rPr>
              <w:t>6.953,00</w:t>
            </w:r>
          </w:p>
        </w:tc>
        <w:tc>
          <w:tcPr>
            <w:tcW w:w="1860" w:type="dxa"/>
            <w:tcMar>
              <w:top w:w="0" w:type="dxa"/>
              <w:bottom w:w="0" w:type="dxa"/>
            </w:tcMar>
            <w:vAlign w:val="center"/>
          </w:tcPr>
          <w:p w14:paraId="068A8F4E" w14:textId="77777777" w:rsidR="000149DF" w:rsidRDefault="00000000">
            <w:pPr>
              <w:keepNext/>
              <w:keepLines/>
              <w:spacing w:after="0" w:line="240" w:lineRule="auto"/>
              <w:jc w:val="right"/>
            </w:pPr>
            <w:r>
              <w:rPr>
                <w:sz w:val="18"/>
              </w:rPr>
              <w:t>17.268,91</w:t>
            </w:r>
          </w:p>
        </w:tc>
        <w:tc>
          <w:tcPr>
            <w:tcW w:w="700" w:type="dxa"/>
            <w:tcMar>
              <w:top w:w="0" w:type="dxa"/>
              <w:bottom w:w="0" w:type="dxa"/>
            </w:tcMar>
            <w:vAlign w:val="center"/>
          </w:tcPr>
          <w:p w14:paraId="0CA84B6D" w14:textId="77777777" w:rsidR="000149DF" w:rsidRDefault="00000000">
            <w:pPr>
              <w:keepNext/>
              <w:keepLines/>
              <w:spacing w:after="0" w:line="240" w:lineRule="auto"/>
              <w:jc w:val="right"/>
            </w:pPr>
            <w:r>
              <w:rPr>
                <w:sz w:val="18"/>
              </w:rPr>
              <w:t>248,4</w:t>
            </w:r>
          </w:p>
        </w:tc>
      </w:tr>
    </w:tbl>
    <w:p w14:paraId="697966CE" w14:textId="77777777" w:rsidR="000149DF" w:rsidRDefault="000149DF">
      <w:pPr>
        <w:spacing w:after="0"/>
      </w:pPr>
    </w:p>
    <w:p w14:paraId="7169CED7" w14:textId="77777777" w:rsidR="000149DF" w:rsidRDefault="00000000">
      <w:r>
        <w:t>Prijenosi između proračunskih korisnika istog proračuna u 2025. godini  izvršeni su u iznosu od 17.268,91 €. Cijeli iznos odnosi se na sredstva doznačena JU DUNEA po EU projektu MoWaCLIM - uspostava jedinstvenih, višerazinskih rješenja za prilagodbu poljoprivredne proizvodnje na klimatske promjene.</w:t>
      </w:r>
    </w:p>
    <w:p w14:paraId="0330FE6D" w14:textId="77777777" w:rsidR="000149DF" w:rsidRDefault="000149DF"/>
    <w:p w14:paraId="099D59DE" w14:textId="77777777" w:rsidR="000149DF" w:rsidRDefault="00000000">
      <w:pPr>
        <w:keepNext/>
        <w:spacing w:line="240" w:lineRule="auto"/>
        <w:jc w:val="center"/>
      </w:pPr>
      <w:r>
        <w:rPr>
          <w:sz w:val="28"/>
        </w:rPr>
        <w:t>Bilješka 36.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436EE1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48D4AF3"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B81510A"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B0ED89A"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3988268"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CCFB049"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6AADEEC" w14:textId="77777777" w:rsidR="000149DF" w:rsidRDefault="00000000">
            <w:pPr>
              <w:keepNext/>
              <w:keepLines/>
              <w:spacing w:after="0" w:line="240" w:lineRule="auto"/>
              <w:jc w:val="center"/>
            </w:pPr>
            <w:r>
              <w:rPr>
                <w:b/>
                <w:sz w:val="18"/>
              </w:rPr>
              <w:t>Indeks (%)</w:t>
            </w:r>
          </w:p>
        </w:tc>
      </w:tr>
      <w:tr w:rsidR="000149DF" w14:paraId="41DE12B4" w14:textId="77777777">
        <w:tblPrEx>
          <w:tblCellMar>
            <w:top w:w="0" w:type="dxa"/>
            <w:bottom w:w="0" w:type="dxa"/>
          </w:tblCellMar>
        </w:tblPrEx>
        <w:trPr>
          <w:cantSplit/>
          <w:trHeight w:val="560"/>
        </w:trPr>
        <w:tc>
          <w:tcPr>
            <w:tcW w:w="700" w:type="dxa"/>
            <w:tcMar>
              <w:top w:w="0" w:type="dxa"/>
              <w:bottom w:w="0" w:type="dxa"/>
            </w:tcMar>
            <w:vAlign w:val="center"/>
          </w:tcPr>
          <w:p w14:paraId="1A5785B3" w14:textId="77777777" w:rsidR="000149DF" w:rsidRDefault="00000000">
            <w:pPr>
              <w:keepNext/>
              <w:keepLines/>
              <w:spacing w:after="0" w:line="240" w:lineRule="auto"/>
            </w:pPr>
            <w:r>
              <w:rPr>
                <w:sz w:val="18"/>
              </w:rPr>
              <w:t>37</w:t>
            </w:r>
          </w:p>
        </w:tc>
        <w:tc>
          <w:tcPr>
            <w:tcW w:w="3180" w:type="dxa"/>
            <w:tcMar>
              <w:top w:w="0" w:type="dxa"/>
              <w:bottom w:w="0" w:type="dxa"/>
            </w:tcMar>
            <w:vAlign w:val="center"/>
          </w:tcPr>
          <w:p w14:paraId="2AB0EC1C" w14:textId="77777777" w:rsidR="000149DF" w:rsidRDefault="00000000">
            <w:pPr>
              <w:keepNext/>
              <w:keepLines/>
              <w:spacing w:after="0" w:line="240" w:lineRule="auto"/>
            </w:pPr>
            <w:r>
              <w:rPr>
                <w:sz w:val="18"/>
              </w:rPr>
              <w:t>Naknade građanima i kućanstvima na temelju osiguranja i druge naknade (šifre 371+372)</w:t>
            </w:r>
          </w:p>
        </w:tc>
        <w:tc>
          <w:tcPr>
            <w:tcW w:w="700" w:type="dxa"/>
            <w:tcMar>
              <w:top w:w="0" w:type="dxa"/>
              <w:bottom w:w="0" w:type="dxa"/>
            </w:tcMar>
            <w:vAlign w:val="center"/>
          </w:tcPr>
          <w:p w14:paraId="605EBDF8" w14:textId="77777777" w:rsidR="000149DF" w:rsidRDefault="00000000">
            <w:pPr>
              <w:keepNext/>
              <w:keepLines/>
              <w:spacing w:after="0" w:line="240" w:lineRule="auto"/>
            </w:pPr>
            <w:r>
              <w:rPr>
                <w:sz w:val="18"/>
              </w:rPr>
              <w:t>37</w:t>
            </w:r>
          </w:p>
        </w:tc>
        <w:tc>
          <w:tcPr>
            <w:tcW w:w="1860" w:type="dxa"/>
            <w:tcMar>
              <w:top w:w="0" w:type="dxa"/>
              <w:bottom w:w="0" w:type="dxa"/>
            </w:tcMar>
            <w:vAlign w:val="center"/>
          </w:tcPr>
          <w:p w14:paraId="2DAABE18" w14:textId="77777777" w:rsidR="000149DF" w:rsidRDefault="00000000">
            <w:pPr>
              <w:keepNext/>
              <w:keepLines/>
              <w:spacing w:after="0" w:line="240" w:lineRule="auto"/>
              <w:jc w:val="right"/>
            </w:pPr>
            <w:r>
              <w:rPr>
                <w:sz w:val="18"/>
              </w:rPr>
              <w:t>1.839.308,38</w:t>
            </w:r>
          </w:p>
        </w:tc>
        <w:tc>
          <w:tcPr>
            <w:tcW w:w="1860" w:type="dxa"/>
            <w:tcMar>
              <w:top w:w="0" w:type="dxa"/>
              <w:bottom w:w="0" w:type="dxa"/>
            </w:tcMar>
            <w:vAlign w:val="center"/>
          </w:tcPr>
          <w:p w14:paraId="0A4B60E2" w14:textId="77777777" w:rsidR="000149DF" w:rsidRDefault="00000000">
            <w:pPr>
              <w:keepNext/>
              <w:keepLines/>
              <w:spacing w:after="0" w:line="240" w:lineRule="auto"/>
              <w:jc w:val="right"/>
            </w:pPr>
            <w:r>
              <w:rPr>
                <w:sz w:val="18"/>
              </w:rPr>
              <w:t>2.489.062,18</w:t>
            </w:r>
          </w:p>
        </w:tc>
        <w:tc>
          <w:tcPr>
            <w:tcW w:w="700" w:type="dxa"/>
            <w:tcMar>
              <w:top w:w="0" w:type="dxa"/>
              <w:bottom w:w="0" w:type="dxa"/>
            </w:tcMar>
            <w:vAlign w:val="center"/>
          </w:tcPr>
          <w:p w14:paraId="08D0807E" w14:textId="77777777" w:rsidR="000149DF" w:rsidRDefault="00000000">
            <w:pPr>
              <w:keepNext/>
              <w:keepLines/>
              <w:spacing w:after="0" w:line="240" w:lineRule="auto"/>
              <w:jc w:val="right"/>
            </w:pPr>
            <w:r>
              <w:rPr>
                <w:sz w:val="18"/>
              </w:rPr>
              <w:t>135,3</w:t>
            </w:r>
          </w:p>
        </w:tc>
      </w:tr>
    </w:tbl>
    <w:p w14:paraId="7F804E51" w14:textId="77777777" w:rsidR="000149DF" w:rsidRDefault="000149DF">
      <w:pPr>
        <w:spacing w:after="0"/>
      </w:pPr>
    </w:p>
    <w:p w14:paraId="78496BD7" w14:textId="77777777" w:rsidR="000149DF" w:rsidRDefault="00000000">
      <w:r>
        <w:t>Naknade građanima i kućanstvima raspoređene su za sufinanciranje prijevoza učenika srednjih škola 862.212,82 €, poticanje otočnog prijevoza 1.072.132,44 € - novi rashod koji je uveden u zadnjem kvartalu  2024. godine, stipendije učenika i studenata 161.600,00 € i za pomoć obiteljima, kućanstvima i braniteljima i ostale naknade 393.116,92 €.</w:t>
      </w:r>
    </w:p>
    <w:p w14:paraId="33BAFF08" w14:textId="77777777" w:rsidR="000149DF" w:rsidRDefault="000149DF"/>
    <w:p w14:paraId="27D6AD59" w14:textId="77777777" w:rsidR="000149DF" w:rsidRDefault="00000000">
      <w:pPr>
        <w:keepNext/>
        <w:spacing w:line="240" w:lineRule="auto"/>
        <w:jc w:val="center"/>
      </w:pPr>
      <w:r>
        <w:rPr>
          <w:sz w:val="28"/>
        </w:rPr>
        <w:lastRenderedPageBreak/>
        <w:t>Bilješka 37.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9F6A2C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1C50832"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ED85057"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B8EDBEB"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29796B1"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C7CF9B7"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184AD3C" w14:textId="77777777" w:rsidR="000149DF" w:rsidRDefault="00000000">
            <w:pPr>
              <w:keepNext/>
              <w:keepLines/>
              <w:spacing w:after="0" w:line="240" w:lineRule="auto"/>
              <w:jc w:val="center"/>
            </w:pPr>
            <w:r>
              <w:rPr>
                <w:b/>
                <w:sz w:val="18"/>
              </w:rPr>
              <w:t>Indeks (%)</w:t>
            </w:r>
          </w:p>
        </w:tc>
      </w:tr>
      <w:tr w:rsidR="000149DF" w14:paraId="5A568D2E" w14:textId="77777777">
        <w:tblPrEx>
          <w:tblCellMar>
            <w:top w:w="0" w:type="dxa"/>
            <w:bottom w:w="0" w:type="dxa"/>
          </w:tblCellMar>
        </w:tblPrEx>
        <w:trPr>
          <w:cantSplit/>
          <w:trHeight w:val="560"/>
        </w:trPr>
        <w:tc>
          <w:tcPr>
            <w:tcW w:w="700" w:type="dxa"/>
            <w:tcMar>
              <w:top w:w="0" w:type="dxa"/>
              <w:bottom w:w="0" w:type="dxa"/>
            </w:tcMar>
            <w:vAlign w:val="center"/>
          </w:tcPr>
          <w:p w14:paraId="05CF66D1" w14:textId="77777777" w:rsidR="000149DF" w:rsidRDefault="00000000">
            <w:pPr>
              <w:keepNext/>
              <w:keepLines/>
              <w:spacing w:after="0" w:line="240" w:lineRule="auto"/>
            </w:pPr>
            <w:r>
              <w:rPr>
                <w:sz w:val="18"/>
              </w:rPr>
              <w:t>372</w:t>
            </w:r>
          </w:p>
        </w:tc>
        <w:tc>
          <w:tcPr>
            <w:tcW w:w="3180" w:type="dxa"/>
            <w:tcMar>
              <w:top w:w="0" w:type="dxa"/>
              <w:bottom w:w="0" w:type="dxa"/>
            </w:tcMar>
            <w:vAlign w:val="center"/>
          </w:tcPr>
          <w:p w14:paraId="00A80E29" w14:textId="77777777" w:rsidR="000149DF" w:rsidRDefault="00000000">
            <w:pPr>
              <w:keepNext/>
              <w:keepLines/>
              <w:spacing w:after="0" w:line="240" w:lineRule="auto"/>
            </w:pPr>
            <w:r>
              <w:rPr>
                <w:sz w:val="18"/>
              </w:rPr>
              <w:t>Ostale naknade građanima i kućanstvima iz proračuna (šifre 3721 do 3723)</w:t>
            </w:r>
          </w:p>
        </w:tc>
        <w:tc>
          <w:tcPr>
            <w:tcW w:w="700" w:type="dxa"/>
            <w:tcMar>
              <w:top w:w="0" w:type="dxa"/>
              <w:bottom w:w="0" w:type="dxa"/>
            </w:tcMar>
            <w:vAlign w:val="center"/>
          </w:tcPr>
          <w:p w14:paraId="4A33F124" w14:textId="77777777" w:rsidR="000149DF" w:rsidRDefault="00000000">
            <w:pPr>
              <w:keepNext/>
              <w:keepLines/>
              <w:spacing w:after="0" w:line="240" w:lineRule="auto"/>
            </w:pPr>
            <w:r>
              <w:rPr>
                <w:sz w:val="18"/>
              </w:rPr>
              <w:t>372</w:t>
            </w:r>
          </w:p>
        </w:tc>
        <w:tc>
          <w:tcPr>
            <w:tcW w:w="1860" w:type="dxa"/>
            <w:tcMar>
              <w:top w:w="0" w:type="dxa"/>
              <w:bottom w:w="0" w:type="dxa"/>
            </w:tcMar>
            <w:vAlign w:val="center"/>
          </w:tcPr>
          <w:p w14:paraId="45B6DF66" w14:textId="77777777" w:rsidR="000149DF" w:rsidRDefault="00000000">
            <w:pPr>
              <w:keepNext/>
              <w:keepLines/>
              <w:spacing w:after="0" w:line="240" w:lineRule="auto"/>
              <w:jc w:val="right"/>
            </w:pPr>
            <w:r>
              <w:rPr>
                <w:sz w:val="18"/>
              </w:rPr>
              <w:t>1.839.308,38</w:t>
            </w:r>
          </w:p>
        </w:tc>
        <w:tc>
          <w:tcPr>
            <w:tcW w:w="1860" w:type="dxa"/>
            <w:tcMar>
              <w:top w:w="0" w:type="dxa"/>
              <w:bottom w:w="0" w:type="dxa"/>
            </w:tcMar>
            <w:vAlign w:val="center"/>
          </w:tcPr>
          <w:p w14:paraId="13A531E3" w14:textId="77777777" w:rsidR="000149DF" w:rsidRDefault="00000000">
            <w:pPr>
              <w:keepNext/>
              <w:keepLines/>
              <w:spacing w:after="0" w:line="240" w:lineRule="auto"/>
              <w:jc w:val="right"/>
            </w:pPr>
            <w:r>
              <w:rPr>
                <w:sz w:val="18"/>
              </w:rPr>
              <w:t>2.489.062,18</w:t>
            </w:r>
          </w:p>
        </w:tc>
        <w:tc>
          <w:tcPr>
            <w:tcW w:w="700" w:type="dxa"/>
            <w:tcMar>
              <w:top w:w="0" w:type="dxa"/>
              <w:bottom w:w="0" w:type="dxa"/>
            </w:tcMar>
            <w:vAlign w:val="center"/>
          </w:tcPr>
          <w:p w14:paraId="43777F2C" w14:textId="77777777" w:rsidR="000149DF" w:rsidRDefault="00000000">
            <w:pPr>
              <w:keepNext/>
              <w:keepLines/>
              <w:spacing w:after="0" w:line="240" w:lineRule="auto"/>
              <w:jc w:val="right"/>
            </w:pPr>
            <w:r>
              <w:rPr>
                <w:sz w:val="18"/>
              </w:rPr>
              <w:t>135,3</w:t>
            </w:r>
          </w:p>
        </w:tc>
      </w:tr>
    </w:tbl>
    <w:p w14:paraId="45730184" w14:textId="77777777" w:rsidR="000149DF" w:rsidRDefault="000149DF">
      <w:pPr>
        <w:spacing w:after="0"/>
      </w:pPr>
    </w:p>
    <w:p w14:paraId="680DFCB1" w14:textId="77777777" w:rsidR="000149DF" w:rsidRDefault="00000000">
      <w:r>
        <w:t>Naknade građanima i kućanstvima raspoređene su za sufinanciranje prijevoza učenika srednjih škola 862.212,82 €, poticanje otočnog prijevoza 1.072.132,44 € - novi rashod koji je uveden u zadnjem kvartalu  2024. godine, stipendije učenika i studenata 161.090,00 € i za pomoć obiteljima, kućanstvima i braniteljima 393.626,92 €.</w:t>
      </w:r>
    </w:p>
    <w:p w14:paraId="7BA40709" w14:textId="77777777" w:rsidR="000149DF" w:rsidRDefault="000149DF"/>
    <w:p w14:paraId="5EAEE452" w14:textId="77777777" w:rsidR="000149DF" w:rsidRDefault="00000000">
      <w:pPr>
        <w:keepNext/>
        <w:spacing w:line="240" w:lineRule="auto"/>
        <w:jc w:val="center"/>
      </w:pPr>
      <w:r>
        <w:rPr>
          <w:sz w:val="28"/>
        </w:rPr>
        <w:t>Bilješka 38.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93FA8A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67A07F6"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29050F8"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57F0373"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4B425F2"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E20A694"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5A36AA8" w14:textId="77777777" w:rsidR="000149DF" w:rsidRDefault="00000000">
            <w:pPr>
              <w:keepNext/>
              <w:keepLines/>
              <w:spacing w:after="0" w:line="240" w:lineRule="auto"/>
              <w:jc w:val="center"/>
            </w:pPr>
            <w:r>
              <w:rPr>
                <w:b/>
                <w:sz w:val="18"/>
              </w:rPr>
              <w:t>Indeks (%)</w:t>
            </w:r>
          </w:p>
        </w:tc>
      </w:tr>
      <w:tr w:rsidR="000149DF" w14:paraId="7AEE6065" w14:textId="77777777">
        <w:tblPrEx>
          <w:tblCellMar>
            <w:top w:w="0" w:type="dxa"/>
            <w:bottom w:w="0" w:type="dxa"/>
          </w:tblCellMar>
        </w:tblPrEx>
        <w:trPr>
          <w:cantSplit/>
          <w:trHeight w:val="560"/>
        </w:trPr>
        <w:tc>
          <w:tcPr>
            <w:tcW w:w="700" w:type="dxa"/>
            <w:tcMar>
              <w:top w:w="0" w:type="dxa"/>
              <w:bottom w:w="0" w:type="dxa"/>
            </w:tcMar>
            <w:vAlign w:val="center"/>
          </w:tcPr>
          <w:p w14:paraId="3A356DED" w14:textId="77777777" w:rsidR="000149DF" w:rsidRDefault="00000000">
            <w:pPr>
              <w:keepNext/>
              <w:keepLines/>
              <w:spacing w:after="0" w:line="240" w:lineRule="auto"/>
            </w:pPr>
            <w:r>
              <w:rPr>
                <w:sz w:val="18"/>
              </w:rPr>
              <w:t>381</w:t>
            </w:r>
          </w:p>
        </w:tc>
        <w:tc>
          <w:tcPr>
            <w:tcW w:w="3180" w:type="dxa"/>
            <w:tcMar>
              <w:top w:w="0" w:type="dxa"/>
              <w:bottom w:w="0" w:type="dxa"/>
            </w:tcMar>
            <w:vAlign w:val="center"/>
          </w:tcPr>
          <w:p w14:paraId="2EC6E87A" w14:textId="77777777" w:rsidR="000149DF" w:rsidRDefault="00000000">
            <w:pPr>
              <w:keepNext/>
              <w:keepLines/>
              <w:spacing w:after="0" w:line="240" w:lineRule="auto"/>
            </w:pPr>
            <w:r>
              <w:rPr>
                <w:sz w:val="18"/>
              </w:rPr>
              <w:t>Tekuće donacije (šifre 3811 do 3813)</w:t>
            </w:r>
          </w:p>
        </w:tc>
        <w:tc>
          <w:tcPr>
            <w:tcW w:w="700" w:type="dxa"/>
            <w:tcMar>
              <w:top w:w="0" w:type="dxa"/>
              <w:bottom w:w="0" w:type="dxa"/>
            </w:tcMar>
            <w:vAlign w:val="center"/>
          </w:tcPr>
          <w:p w14:paraId="1FD15FD2" w14:textId="77777777" w:rsidR="000149DF" w:rsidRDefault="00000000">
            <w:pPr>
              <w:keepNext/>
              <w:keepLines/>
              <w:spacing w:after="0" w:line="240" w:lineRule="auto"/>
            </w:pPr>
            <w:r>
              <w:rPr>
                <w:sz w:val="18"/>
              </w:rPr>
              <w:t>381</w:t>
            </w:r>
          </w:p>
        </w:tc>
        <w:tc>
          <w:tcPr>
            <w:tcW w:w="1860" w:type="dxa"/>
            <w:tcMar>
              <w:top w:w="0" w:type="dxa"/>
              <w:bottom w:w="0" w:type="dxa"/>
            </w:tcMar>
            <w:vAlign w:val="center"/>
          </w:tcPr>
          <w:p w14:paraId="3E55CA6A" w14:textId="77777777" w:rsidR="000149DF" w:rsidRDefault="00000000">
            <w:pPr>
              <w:keepNext/>
              <w:keepLines/>
              <w:spacing w:after="0" w:line="240" w:lineRule="auto"/>
              <w:jc w:val="right"/>
            </w:pPr>
            <w:r>
              <w:rPr>
                <w:sz w:val="18"/>
              </w:rPr>
              <w:t>1.587.215,36</w:t>
            </w:r>
          </w:p>
        </w:tc>
        <w:tc>
          <w:tcPr>
            <w:tcW w:w="1860" w:type="dxa"/>
            <w:tcMar>
              <w:top w:w="0" w:type="dxa"/>
              <w:bottom w:w="0" w:type="dxa"/>
            </w:tcMar>
            <w:vAlign w:val="center"/>
          </w:tcPr>
          <w:p w14:paraId="7C431726" w14:textId="77777777" w:rsidR="000149DF" w:rsidRDefault="00000000">
            <w:pPr>
              <w:keepNext/>
              <w:keepLines/>
              <w:spacing w:after="0" w:line="240" w:lineRule="auto"/>
              <w:jc w:val="right"/>
            </w:pPr>
            <w:r>
              <w:rPr>
                <w:sz w:val="18"/>
              </w:rPr>
              <w:t>2.162.526,88</w:t>
            </w:r>
          </w:p>
        </w:tc>
        <w:tc>
          <w:tcPr>
            <w:tcW w:w="700" w:type="dxa"/>
            <w:tcMar>
              <w:top w:w="0" w:type="dxa"/>
              <w:bottom w:w="0" w:type="dxa"/>
            </w:tcMar>
            <w:vAlign w:val="center"/>
          </w:tcPr>
          <w:p w14:paraId="34DC1A6C" w14:textId="77777777" w:rsidR="000149DF" w:rsidRDefault="00000000">
            <w:pPr>
              <w:keepNext/>
              <w:keepLines/>
              <w:spacing w:after="0" w:line="240" w:lineRule="auto"/>
              <w:jc w:val="right"/>
            </w:pPr>
            <w:r>
              <w:rPr>
                <w:sz w:val="18"/>
              </w:rPr>
              <w:t>136,2</w:t>
            </w:r>
          </w:p>
        </w:tc>
      </w:tr>
    </w:tbl>
    <w:p w14:paraId="25F5079E" w14:textId="77777777" w:rsidR="000149DF" w:rsidRDefault="000149DF">
      <w:pPr>
        <w:spacing w:after="0"/>
      </w:pPr>
    </w:p>
    <w:p w14:paraId="4431F4DE" w14:textId="77777777" w:rsidR="000149DF" w:rsidRDefault="00000000">
      <w:r>
        <w:t>Povećanje na tekuće donacije u novcu najvećim dijelom odnosi se na lokalne izbore gdje je Županijskom izbornom povjerenstvu isplaćen iznos od 382.432,45 € i iznos od 43.451,07 € isplaćen je političkim strankama i kandidatima za župana za troškove izborne promidžbe.</w:t>
      </w:r>
    </w:p>
    <w:p w14:paraId="4B8BB287" w14:textId="77777777" w:rsidR="000149DF" w:rsidRDefault="000149DF"/>
    <w:p w14:paraId="494CC2A1" w14:textId="77777777" w:rsidR="000149DF" w:rsidRDefault="00000000">
      <w:pPr>
        <w:keepNext/>
        <w:spacing w:line="240" w:lineRule="auto"/>
        <w:jc w:val="center"/>
      </w:pPr>
      <w:r>
        <w:rPr>
          <w:sz w:val="28"/>
        </w:rPr>
        <w:t>Bilješka 39.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58335A1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0D36F4F"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A61F4DA"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AFB3027"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17323A8"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92BB58D"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CE0D409" w14:textId="77777777" w:rsidR="000149DF" w:rsidRDefault="00000000">
            <w:pPr>
              <w:keepNext/>
              <w:keepLines/>
              <w:spacing w:after="0" w:line="240" w:lineRule="auto"/>
              <w:jc w:val="center"/>
            </w:pPr>
            <w:r>
              <w:rPr>
                <w:b/>
                <w:sz w:val="18"/>
              </w:rPr>
              <w:t>Indeks (%)</w:t>
            </w:r>
          </w:p>
        </w:tc>
      </w:tr>
      <w:tr w:rsidR="000149DF" w14:paraId="51EA29F9" w14:textId="77777777">
        <w:tblPrEx>
          <w:tblCellMar>
            <w:top w:w="0" w:type="dxa"/>
            <w:bottom w:w="0" w:type="dxa"/>
          </w:tblCellMar>
        </w:tblPrEx>
        <w:trPr>
          <w:cantSplit/>
          <w:trHeight w:val="560"/>
        </w:trPr>
        <w:tc>
          <w:tcPr>
            <w:tcW w:w="700" w:type="dxa"/>
            <w:tcMar>
              <w:top w:w="0" w:type="dxa"/>
              <w:bottom w:w="0" w:type="dxa"/>
            </w:tcMar>
            <w:vAlign w:val="center"/>
          </w:tcPr>
          <w:p w14:paraId="45146299" w14:textId="77777777" w:rsidR="000149DF" w:rsidRDefault="00000000">
            <w:pPr>
              <w:keepNext/>
              <w:keepLines/>
              <w:spacing w:after="0" w:line="240" w:lineRule="auto"/>
            </w:pPr>
            <w:r>
              <w:rPr>
                <w:sz w:val="18"/>
              </w:rPr>
              <w:t>382</w:t>
            </w:r>
          </w:p>
        </w:tc>
        <w:tc>
          <w:tcPr>
            <w:tcW w:w="3180" w:type="dxa"/>
            <w:tcMar>
              <w:top w:w="0" w:type="dxa"/>
              <w:bottom w:w="0" w:type="dxa"/>
            </w:tcMar>
            <w:vAlign w:val="center"/>
          </w:tcPr>
          <w:p w14:paraId="3A17688A" w14:textId="77777777" w:rsidR="000149DF" w:rsidRDefault="00000000">
            <w:pPr>
              <w:keepNext/>
              <w:keepLines/>
              <w:spacing w:after="0" w:line="240" w:lineRule="auto"/>
            </w:pPr>
            <w:r>
              <w:rPr>
                <w:sz w:val="18"/>
              </w:rPr>
              <w:t>Kapitalne donacije (šifre 3821 do 3824)</w:t>
            </w:r>
          </w:p>
        </w:tc>
        <w:tc>
          <w:tcPr>
            <w:tcW w:w="700" w:type="dxa"/>
            <w:tcMar>
              <w:top w:w="0" w:type="dxa"/>
              <w:bottom w:w="0" w:type="dxa"/>
            </w:tcMar>
            <w:vAlign w:val="center"/>
          </w:tcPr>
          <w:p w14:paraId="2F12519F" w14:textId="77777777" w:rsidR="000149DF" w:rsidRDefault="00000000">
            <w:pPr>
              <w:keepNext/>
              <w:keepLines/>
              <w:spacing w:after="0" w:line="240" w:lineRule="auto"/>
            </w:pPr>
            <w:r>
              <w:rPr>
                <w:sz w:val="18"/>
              </w:rPr>
              <w:t>382</w:t>
            </w:r>
          </w:p>
        </w:tc>
        <w:tc>
          <w:tcPr>
            <w:tcW w:w="1860" w:type="dxa"/>
            <w:tcMar>
              <w:top w:w="0" w:type="dxa"/>
              <w:bottom w:w="0" w:type="dxa"/>
            </w:tcMar>
            <w:vAlign w:val="center"/>
          </w:tcPr>
          <w:p w14:paraId="6CD21248" w14:textId="77777777" w:rsidR="000149DF" w:rsidRDefault="00000000">
            <w:pPr>
              <w:keepNext/>
              <w:keepLines/>
              <w:spacing w:after="0" w:line="240" w:lineRule="auto"/>
              <w:jc w:val="right"/>
            </w:pPr>
            <w:r>
              <w:rPr>
                <w:sz w:val="18"/>
              </w:rPr>
              <w:t>1.150.159,85</w:t>
            </w:r>
          </w:p>
        </w:tc>
        <w:tc>
          <w:tcPr>
            <w:tcW w:w="1860" w:type="dxa"/>
            <w:tcMar>
              <w:top w:w="0" w:type="dxa"/>
              <w:bottom w:w="0" w:type="dxa"/>
            </w:tcMar>
            <w:vAlign w:val="center"/>
          </w:tcPr>
          <w:p w14:paraId="521445F9" w14:textId="77777777" w:rsidR="000149DF" w:rsidRDefault="00000000">
            <w:pPr>
              <w:keepNext/>
              <w:keepLines/>
              <w:spacing w:after="0" w:line="240" w:lineRule="auto"/>
              <w:jc w:val="right"/>
            </w:pPr>
            <w:r>
              <w:rPr>
                <w:sz w:val="18"/>
              </w:rPr>
              <w:t>602.756,64</w:t>
            </w:r>
          </w:p>
        </w:tc>
        <w:tc>
          <w:tcPr>
            <w:tcW w:w="700" w:type="dxa"/>
            <w:tcMar>
              <w:top w:w="0" w:type="dxa"/>
              <w:bottom w:w="0" w:type="dxa"/>
            </w:tcMar>
            <w:vAlign w:val="center"/>
          </w:tcPr>
          <w:p w14:paraId="6ECD37FF" w14:textId="77777777" w:rsidR="000149DF" w:rsidRDefault="00000000">
            <w:pPr>
              <w:keepNext/>
              <w:keepLines/>
              <w:spacing w:after="0" w:line="240" w:lineRule="auto"/>
              <w:jc w:val="right"/>
            </w:pPr>
            <w:r>
              <w:rPr>
                <w:sz w:val="18"/>
              </w:rPr>
              <w:t>52,4</w:t>
            </w:r>
          </w:p>
        </w:tc>
      </w:tr>
    </w:tbl>
    <w:p w14:paraId="1F590482" w14:textId="77777777" w:rsidR="000149DF" w:rsidRDefault="000149DF">
      <w:pPr>
        <w:spacing w:after="0"/>
      </w:pPr>
    </w:p>
    <w:p w14:paraId="350EBAE8" w14:textId="77777777" w:rsidR="000149DF" w:rsidRDefault="00000000">
      <w:r>
        <w:t>Smanjenje na kapitalnim donacijama u odnosu na prethodnu godinu nastalo je zato što su u 2024. godini  Lučkoj upravi DNŽ isplaćena sredstva  za sufinanciranje projekata sanacije i izgradnje lučke infrastrukture luke Ubli u iznosu od 821.776,26 €. </w:t>
      </w:r>
    </w:p>
    <w:p w14:paraId="11251B4B" w14:textId="77777777" w:rsidR="000149DF" w:rsidRDefault="00000000">
      <w:r>
        <w:t>U 2025 godini kapitalne donacije isplaćene su:</w:t>
      </w:r>
    </w:p>
    <w:p w14:paraId="5794CAE3" w14:textId="77777777" w:rsidR="000149DF" w:rsidRDefault="00000000">
      <w:pPr>
        <w:pStyle w:val="ListParagraph"/>
        <w:numPr>
          <w:ilvl w:val="0"/>
          <w:numId w:val="1"/>
        </w:numPr>
      </w:pPr>
      <w:r>
        <w:t>Vatrogasnoj zajednici DNŽu  iznosu od 65.000,00 € za provedbu posebnih mjera zaštite od požara od interesa za RH i godišnji provedbeni plan unaprijeđenja zaštite od požara DNŽ,</w:t>
      </w:r>
    </w:p>
    <w:p w14:paraId="02383A9D" w14:textId="77777777" w:rsidR="000149DF" w:rsidRDefault="00000000">
      <w:pPr>
        <w:pStyle w:val="ListParagraph"/>
        <w:numPr>
          <w:ilvl w:val="0"/>
          <w:numId w:val="1"/>
        </w:numPr>
      </w:pPr>
      <w:r>
        <w:t>vjerskim zajednicama za zaštitu očuvanje i opremanje kulturnih i sakralnih dobara u iznosu od 95.000,00 €, </w:t>
      </w:r>
    </w:p>
    <w:p w14:paraId="422D4BD6" w14:textId="77777777" w:rsidR="000149DF" w:rsidRDefault="00000000">
      <w:pPr>
        <w:pStyle w:val="ListParagraph"/>
        <w:numPr>
          <w:ilvl w:val="0"/>
          <w:numId w:val="1"/>
        </w:numPr>
      </w:pPr>
      <w:r>
        <w:t>Županijskoj lučkoj upravi Dubrovnik u iznosu od 295.000,00 € za uređenje drvoreda u Gružu, </w:t>
      </w:r>
    </w:p>
    <w:p w14:paraId="5EC3306D" w14:textId="77777777" w:rsidR="000149DF" w:rsidRDefault="00000000">
      <w:pPr>
        <w:pStyle w:val="ListParagraph"/>
        <w:numPr>
          <w:ilvl w:val="0"/>
          <w:numId w:val="1"/>
        </w:numPr>
      </w:pPr>
      <w:r>
        <w:t>Nogometnom klubu Putnikovići u iznosu od 24.625,00 € za sanaciju ogradnog zida i ograde igrališta NK Putnikovići </w:t>
      </w:r>
    </w:p>
    <w:p w14:paraId="0125B4B8" w14:textId="77777777" w:rsidR="000149DF" w:rsidRDefault="00000000">
      <w:pPr>
        <w:pStyle w:val="ListParagraph"/>
        <w:numPr>
          <w:ilvl w:val="0"/>
          <w:numId w:val="1"/>
        </w:numPr>
      </w:pPr>
      <w:r>
        <w:lastRenderedPageBreak/>
        <w:t>Ngometnom klubu Jadran luka Ploče u iznosu od 5.490,00 € za nabavu traktorske kosilice za održavanje travnjaka</w:t>
      </w:r>
    </w:p>
    <w:p w14:paraId="1E92B8A2" w14:textId="77777777" w:rsidR="000149DF" w:rsidRDefault="00000000">
      <w:pPr>
        <w:pStyle w:val="ListParagraph"/>
        <w:numPr>
          <w:ilvl w:val="0"/>
          <w:numId w:val="1"/>
        </w:numPr>
      </w:pPr>
      <w:r>
        <w:t>Lučkoj upravi DNŽ u iznosu od 117.641,64 € za sufinanciranje radova na ulaganju na dijelu luke Brna.</w:t>
      </w:r>
    </w:p>
    <w:p w14:paraId="7DC1E4C2" w14:textId="77777777" w:rsidR="000149DF" w:rsidRDefault="000149DF"/>
    <w:p w14:paraId="1271DDE1" w14:textId="77777777" w:rsidR="000149DF" w:rsidRDefault="00000000">
      <w:pPr>
        <w:keepNext/>
        <w:spacing w:line="240" w:lineRule="auto"/>
        <w:jc w:val="center"/>
      </w:pPr>
      <w:r>
        <w:rPr>
          <w:sz w:val="28"/>
        </w:rPr>
        <w:t>Bilješka 40.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2504D4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559B21E"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D12F746"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BA5121E"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6B4F2FF"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6DB0244"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AF2DE8B" w14:textId="77777777" w:rsidR="000149DF" w:rsidRDefault="00000000">
            <w:pPr>
              <w:keepNext/>
              <w:keepLines/>
              <w:spacing w:after="0" w:line="240" w:lineRule="auto"/>
              <w:jc w:val="center"/>
            </w:pPr>
            <w:r>
              <w:rPr>
                <w:b/>
                <w:sz w:val="18"/>
              </w:rPr>
              <w:t>Indeks (%)</w:t>
            </w:r>
          </w:p>
        </w:tc>
      </w:tr>
      <w:tr w:rsidR="000149DF" w14:paraId="75CC23B0" w14:textId="77777777">
        <w:tblPrEx>
          <w:tblCellMar>
            <w:top w:w="0" w:type="dxa"/>
            <w:bottom w:w="0" w:type="dxa"/>
          </w:tblCellMar>
        </w:tblPrEx>
        <w:trPr>
          <w:cantSplit/>
          <w:trHeight w:val="560"/>
        </w:trPr>
        <w:tc>
          <w:tcPr>
            <w:tcW w:w="700" w:type="dxa"/>
            <w:tcMar>
              <w:top w:w="0" w:type="dxa"/>
              <w:bottom w:w="0" w:type="dxa"/>
            </w:tcMar>
            <w:vAlign w:val="center"/>
          </w:tcPr>
          <w:p w14:paraId="1DB20513" w14:textId="77777777" w:rsidR="000149DF" w:rsidRDefault="00000000">
            <w:pPr>
              <w:keepNext/>
              <w:keepLines/>
              <w:spacing w:after="0" w:line="240" w:lineRule="auto"/>
            </w:pPr>
            <w:r>
              <w:rPr>
                <w:sz w:val="18"/>
              </w:rPr>
              <w:t>3823</w:t>
            </w:r>
          </w:p>
        </w:tc>
        <w:tc>
          <w:tcPr>
            <w:tcW w:w="3180" w:type="dxa"/>
            <w:tcMar>
              <w:top w:w="0" w:type="dxa"/>
              <w:bottom w:w="0" w:type="dxa"/>
            </w:tcMar>
            <w:vAlign w:val="center"/>
          </w:tcPr>
          <w:p w14:paraId="517960AD" w14:textId="77777777" w:rsidR="000149DF" w:rsidRDefault="00000000">
            <w:pPr>
              <w:keepNext/>
              <w:keepLines/>
              <w:spacing w:after="0" w:line="240" w:lineRule="auto"/>
            </w:pPr>
            <w:r>
              <w:rPr>
                <w:sz w:val="18"/>
              </w:rPr>
              <w:t>Kapitalne donacije iz EU sredstava</w:t>
            </w:r>
          </w:p>
        </w:tc>
        <w:tc>
          <w:tcPr>
            <w:tcW w:w="700" w:type="dxa"/>
            <w:tcMar>
              <w:top w:w="0" w:type="dxa"/>
              <w:bottom w:w="0" w:type="dxa"/>
            </w:tcMar>
            <w:vAlign w:val="center"/>
          </w:tcPr>
          <w:p w14:paraId="387E9E38" w14:textId="77777777" w:rsidR="000149DF" w:rsidRDefault="00000000">
            <w:pPr>
              <w:keepNext/>
              <w:keepLines/>
              <w:spacing w:after="0" w:line="240" w:lineRule="auto"/>
            </w:pPr>
            <w:r>
              <w:rPr>
                <w:sz w:val="18"/>
              </w:rPr>
              <w:t>3823</w:t>
            </w:r>
          </w:p>
        </w:tc>
        <w:tc>
          <w:tcPr>
            <w:tcW w:w="1860" w:type="dxa"/>
            <w:tcMar>
              <w:top w:w="0" w:type="dxa"/>
              <w:bottom w:w="0" w:type="dxa"/>
            </w:tcMar>
            <w:vAlign w:val="center"/>
          </w:tcPr>
          <w:p w14:paraId="6C88AE39" w14:textId="77777777" w:rsidR="000149DF" w:rsidRDefault="00000000">
            <w:pPr>
              <w:keepNext/>
              <w:keepLines/>
              <w:spacing w:after="0" w:line="240" w:lineRule="auto"/>
              <w:jc w:val="right"/>
            </w:pPr>
            <w:r>
              <w:rPr>
                <w:sz w:val="18"/>
              </w:rPr>
              <w:t>83.455,38</w:t>
            </w:r>
          </w:p>
        </w:tc>
        <w:tc>
          <w:tcPr>
            <w:tcW w:w="1860" w:type="dxa"/>
            <w:tcMar>
              <w:top w:w="0" w:type="dxa"/>
              <w:bottom w:w="0" w:type="dxa"/>
            </w:tcMar>
            <w:vAlign w:val="center"/>
          </w:tcPr>
          <w:p w14:paraId="52909F6A" w14:textId="77777777" w:rsidR="000149DF" w:rsidRDefault="00000000">
            <w:pPr>
              <w:keepNext/>
              <w:keepLines/>
              <w:spacing w:after="0" w:line="240" w:lineRule="auto"/>
              <w:jc w:val="right"/>
            </w:pPr>
            <w:r>
              <w:rPr>
                <w:sz w:val="18"/>
              </w:rPr>
              <w:t>0,00</w:t>
            </w:r>
          </w:p>
        </w:tc>
        <w:tc>
          <w:tcPr>
            <w:tcW w:w="700" w:type="dxa"/>
            <w:tcMar>
              <w:top w:w="0" w:type="dxa"/>
              <w:bottom w:w="0" w:type="dxa"/>
            </w:tcMar>
            <w:vAlign w:val="center"/>
          </w:tcPr>
          <w:p w14:paraId="11409621" w14:textId="77777777" w:rsidR="000149DF" w:rsidRDefault="00000000">
            <w:pPr>
              <w:keepNext/>
              <w:keepLines/>
              <w:spacing w:after="0" w:line="240" w:lineRule="auto"/>
              <w:jc w:val="right"/>
            </w:pPr>
            <w:r>
              <w:rPr>
                <w:sz w:val="18"/>
              </w:rPr>
              <w:t>0</w:t>
            </w:r>
          </w:p>
        </w:tc>
      </w:tr>
    </w:tbl>
    <w:p w14:paraId="3381FD84" w14:textId="77777777" w:rsidR="000149DF" w:rsidRDefault="000149DF">
      <w:pPr>
        <w:spacing w:after="0"/>
      </w:pPr>
    </w:p>
    <w:p w14:paraId="1CE77E0F" w14:textId="77777777" w:rsidR="000149DF" w:rsidRDefault="00000000">
      <w:r>
        <w:t>U 2025. godini kapitalne donacije iz EU sredstava nisu izvršene jer je EU projekt Josipov dom po kojem smo imali isplatu Caritasu Dubrovačke biskupije završio u 2024. godini.</w:t>
      </w:r>
    </w:p>
    <w:p w14:paraId="77DBB566" w14:textId="77777777" w:rsidR="000149DF" w:rsidRDefault="000149DF"/>
    <w:p w14:paraId="42CB13D9" w14:textId="77777777" w:rsidR="000149DF" w:rsidRDefault="00000000">
      <w:pPr>
        <w:keepNext/>
        <w:spacing w:line="240" w:lineRule="auto"/>
        <w:jc w:val="center"/>
      </w:pPr>
      <w:r>
        <w:rPr>
          <w:sz w:val="28"/>
        </w:rPr>
        <w:t>Bilješka 41.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32AD992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3C5472C"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2482692"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4FC82BB"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6303C04"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37B3780"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90CFF5E" w14:textId="77777777" w:rsidR="000149DF" w:rsidRDefault="00000000">
            <w:pPr>
              <w:keepNext/>
              <w:keepLines/>
              <w:spacing w:after="0" w:line="240" w:lineRule="auto"/>
              <w:jc w:val="center"/>
            </w:pPr>
            <w:r>
              <w:rPr>
                <w:b/>
                <w:sz w:val="18"/>
              </w:rPr>
              <w:t>Indeks (%)</w:t>
            </w:r>
          </w:p>
        </w:tc>
      </w:tr>
      <w:tr w:rsidR="000149DF" w14:paraId="0F551CC0" w14:textId="77777777">
        <w:tblPrEx>
          <w:tblCellMar>
            <w:top w:w="0" w:type="dxa"/>
            <w:bottom w:w="0" w:type="dxa"/>
          </w:tblCellMar>
        </w:tblPrEx>
        <w:trPr>
          <w:cantSplit/>
          <w:trHeight w:val="560"/>
        </w:trPr>
        <w:tc>
          <w:tcPr>
            <w:tcW w:w="700" w:type="dxa"/>
            <w:tcMar>
              <w:top w:w="0" w:type="dxa"/>
              <w:bottom w:w="0" w:type="dxa"/>
            </w:tcMar>
            <w:vAlign w:val="center"/>
          </w:tcPr>
          <w:p w14:paraId="48D87AFA" w14:textId="77777777" w:rsidR="000149DF" w:rsidRDefault="00000000">
            <w:pPr>
              <w:keepNext/>
              <w:keepLines/>
              <w:spacing w:after="0" w:line="240" w:lineRule="auto"/>
            </w:pPr>
            <w:r>
              <w:rPr>
                <w:sz w:val="18"/>
              </w:rPr>
              <w:t>386</w:t>
            </w:r>
          </w:p>
        </w:tc>
        <w:tc>
          <w:tcPr>
            <w:tcW w:w="3180" w:type="dxa"/>
            <w:tcMar>
              <w:top w:w="0" w:type="dxa"/>
              <w:bottom w:w="0" w:type="dxa"/>
            </w:tcMar>
            <w:vAlign w:val="center"/>
          </w:tcPr>
          <w:p w14:paraId="33F2A98E" w14:textId="77777777" w:rsidR="000149DF" w:rsidRDefault="00000000">
            <w:pPr>
              <w:keepNext/>
              <w:keepLines/>
              <w:spacing w:after="0" w:line="240" w:lineRule="auto"/>
            </w:pPr>
            <w:r>
              <w:rPr>
                <w:sz w:val="18"/>
              </w:rPr>
              <w:t>Kapitalne pomoći (šifre 3861 do 3865)</w:t>
            </w:r>
          </w:p>
        </w:tc>
        <w:tc>
          <w:tcPr>
            <w:tcW w:w="700" w:type="dxa"/>
            <w:tcMar>
              <w:top w:w="0" w:type="dxa"/>
              <w:bottom w:w="0" w:type="dxa"/>
            </w:tcMar>
            <w:vAlign w:val="center"/>
          </w:tcPr>
          <w:p w14:paraId="7F5F732A" w14:textId="77777777" w:rsidR="000149DF" w:rsidRDefault="00000000">
            <w:pPr>
              <w:keepNext/>
              <w:keepLines/>
              <w:spacing w:after="0" w:line="240" w:lineRule="auto"/>
            </w:pPr>
            <w:r>
              <w:rPr>
                <w:sz w:val="18"/>
              </w:rPr>
              <w:t>386</w:t>
            </w:r>
          </w:p>
        </w:tc>
        <w:tc>
          <w:tcPr>
            <w:tcW w:w="1860" w:type="dxa"/>
            <w:tcMar>
              <w:top w:w="0" w:type="dxa"/>
              <w:bottom w:w="0" w:type="dxa"/>
            </w:tcMar>
            <w:vAlign w:val="center"/>
          </w:tcPr>
          <w:p w14:paraId="0BD21682" w14:textId="77777777" w:rsidR="000149DF" w:rsidRDefault="00000000">
            <w:pPr>
              <w:keepNext/>
              <w:keepLines/>
              <w:spacing w:after="0" w:line="240" w:lineRule="auto"/>
              <w:jc w:val="right"/>
            </w:pPr>
            <w:r>
              <w:rPr>
                <w:sz w:val="18"/>
              </w:rPr>
              <w:t>561.914,93</w:t>
            </w:r>
          </w:p>
        </w:tc>
        <w:tc>
          <w:tcPr>
            <w:tcW w:w="1860" w:type="dxa"/>
            <w:tcMar>
              <w:top w:w="0" w:type="dxa"/>
              <w:bottom w:w="0" w:type="dxa"/>
            </w:tcMar>
            <w:vAlign w:val="center"/>
          </w:tcPr>
          <w:p w14:paraId="15B643A2" w14:textId="77777777" w:rsidR="000149DF" w:rsidRDefault="00000000">
            <w:pPr>
              <w:keepNext/>
              <w:keepLines/>
              <w:spacing w:after="0" w:line="240" w:lineRule="auto"/>
              <w:jc w:val="right"/>
            </w:pPr>
            <w:r>
              <w:rPr>
                <w:sz w:val="18"/>
              </w:rPr>
              <w:t>227.762,25</w:t>
            </w:r>
          </w:p>
        </w:tc>
        <w:tc>
          <w:tcPr>
            <w:tcW w:w="700" w:type="dxa"/>
            <w:tcMar>
              <w:top w:w="0" w:type="dxa"/>
              <w:bottom w:w="0" w:type="dxa"/>
            </w:tcMar>
            <w:vAlign w:val="center"/>
          </w:tcPr>
          <w:p w14:paraId="0C4D5F7E" w14:textId="77777777" w:rsidR="000149DF" w:rsidRDefault="00000000">
            <w:pPr>
              <w:keepNext/>
              <w:keepLines/>
              <w:spacing w:after="0" w:line="240" w:lineRule="auto"/>
              <w:jc w:val="right"/>
            </w:pPr>
            <w:r>
              <w:rPr>
                <w:sz w:val="18"/>
              </w:rPr>
              <w:t>40,5</w:t>
            </w:r>
          </w:p>
        </w:tc>
      </w:tr>
    </w:tbl>
    <w:p w14:paraId="4F3C9929" w14:textId="77777777" w:rsidR="000149DF" w:rsidRDefault="000149DF">
      <w:pPr>
        <w:spacing w:after="0"/>
      </w:pPr>
    </w:p>
    <w:p w14:paraId="62CCA890" w14:textId="77777777" w:rsidR="000149DF" w:rsidRDefault="00000000">
      <w:r>
        <w:t>Kapitalna pomoć od 227.762,25 € odnosi se na doznaku sredstava Agenciji za gospodarenje otpadom.</w:t>
      </w:r>
    </w:p>
    <w:p w14:paraId="606B8104" w14:textId="77777777" w:rsidR="000149DF" w:rsidRDefault="000149DF"/>
    <w:p w14:paraId="17415517" w14:textId="77777777" w:rsidR="000149DF" w:rsidRDefault="00000000">
      <w:pPr>
        <w:keepNext/>
        <w:spacing w:line="240" w:lineRule="auto"/>
        <w:jc w:val="center"/>
      </w:pPr>
      <w:r>
        <w:rPr>
          <w:sz w:val="28"/>
        </w:rPr>
        <w:t>Bilješka 42.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567E23A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06A16A4"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0F36FC3"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613720A"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30AE08B"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3551874"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297D975" w14:textId="77777777" w:rsidR="000149DF" w:rsidRDefault="00000000">
            <w:pPr>
              <w:keepNext/>
              <w:keepLines/>
              <w:spacing w:after="0" w:line="240" w:lineRule="auto"/>
              <w:jc w:val="center"/>
            </w:pPr>
            <w:r>
              <w:rPr>
                <w:b/>
                <w:sz w:val="18"/>
              </w:rPr>
              <w:t>Indeks (%)</w:t>
            </w:r>
          </w:p>
        </w:tc>
      </w:tr>
      <w:tr w:rsidR="000149DF" w14:paraId="0C4438DA" w14:textId="77777777">
        <w:tblPrEx>
          <w:tblCellMar>
            <w:top w:w="0" w:type="dxa"/>
            <w:bottom w:w="0" w:type="dxa"/>
          </w:tblCellMar>
        </w:tblPrEx>
        <w:trPr>
          <w:cantSplit/>
          <w:trHeight w:val="560"/>
        </w:trPr>
        <w:tc>
          <w:tcPr>
            <w:tcW w:w="700" w:type="dxa"/>
            <w:tcMar>
              <w:top w:w="0" w:type="dxa"/>
              <w:bottom w:w="0" w:type="dxa"/>
            </w:tcMar>
            <w:vAlign w:val="center"/>
          </w:tcPr>
          <w:p w14:paraId="4029FEA7" w14:textId="77777777" w:rsidR="000149DF" w:rsidRDefault="00000000">
            <w:pPr>
              <w:keepNext/>
              <w:keepLines/>
              <w:spacing w:after="0" w:line="240" w:lineRule="auto"/>
            </w:pPr>
            <w:r>
              <w:rPr>
                <w:sz w:val="18"/>
              </w:rPr>
              <w:t>7</w:t>
            </w:r>
          </w:p>
        </w:tc>
        <w:tc>
          <w:tcPr>
            <w:tcW w:w="3180" w:type="dxa"/>
            <w:tcMar>
              <w:top w:w="0" w:type="dxa"/>
              <w:bottom w:w="0" w:type="dxa"/>
            </w:tcMar>
            <w:vAlign w:val="center"/>
          </w:tcPr>
          <w:p w14:paraId="261B2FBA" w14:textId="77777777" w:rsidR="000149DF" w:rsidRDefault="00000000">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7C02AAFD" w14:textId="77777777" w:rsidR="000149DF" w:rsidRDefault="00000000">
            <w:pPr>
              <w:keepNext/>
              <w:keepLines/>
              <w:spacing w:after="0" w:line="240" w:lineRule="auto"/>
            </w:pPr>
            <w:r>
              <w:rPr>
                <w:sz w:val="18"/>
              </w:rPr>
              <w:t>7</w:t>
            </w:r>
          </w:p>
        </w:tc>
        <w:tc>
          <w:tcPr>
            <w:tcW w:w="1860" w:type="dxa"/>
            <w:tcMar>
              <w:top w:w="0" w:type="dxa"/>
              <w:bottom w:w="0" w:type="dxa"/>
            </w:tcMar>
            <w:vAlign w:val="center"/>
          </w:tcPr>
          <w:p w14:paraId="0D66A380" w14:textId="77777777" w:rsidR="000149DF" w:rsidRDefault="00000000">
            <w:pPr>
              <w:keepNext/>
              <w:keepLines/>
              <w:spacing w:after="0" w:line="240" w:lineRule="auto"/>
              <w:jc w:val="right"/>
            </w:pPr>
            <w:r>
              <w:rPr>
                <w:sz w:val="18"/>
              </w:rPr>
              <w:t>645,65</w:t>
            </w:r>
          </w:p>
        </w:tc>
        <w:tc>
          <w:tcPr>
            <w:tcW w:w="1860" w:type="dxa"/>
            <w:tcMar>
              <w:top w:w="0" w:type="dxa"/>
              <w:bottom w:w="0" w:type="dxa"/>
            </w:tcMar>
            <w:vAlign w:val="center"/>
          </w:tcPr>
          <w:p w14:paraId="359B1515" w14:textId="77777777" w:rsidR="000149DF" w:rsidRDefault="00000000">
            <w:pPr>
              <w:keepNext/>
              <w:keepLines/>
              <w:spacing w:after="0" w:line="240" w:lineRule="auto"/>
              <w:jc w:val="right"/>
            </w:pPr>
            <w:r>
              <w:rPr>
                <w:sz w:val="18"/>
              </w:rPr>
              <w:t>54.245,98</w:t>
            </w:r>
          </w:p>
        </w:tc>
        <w:tc>
          <w:tcPr>
            <w:tcW w:w="700" w:type="dxa"/>
            <w:tcMar>
              <w:top w:w="0" w:type="dxa"/>
              <w:bottom w:w="0" w:type="dxa"/>
            </w:tcMar>
            <w:vAlign w:val="center"/>
          </w:tcPr>
          <w:p w14:paraId="19848738" w14:textId="77777777" w:rsidR="000149DF" w:rsidRDefault="00000000">
            <w:pPr>
              <w:keepNext/>
              <w:keepLines/>
              <w:spacing w:after="0" w:line="240" w:lineRule="auto"/>
              <w:jc w:val="right"/>
            </w:pPr>
            <w:r>
              <w:rPr>
                <w:sz w:val="18"/>
              </w:rPr>
              <w:t>8401,8</w:t>
            </w:r>
          </w:p>
        </w:tc>
      </w:tr>
    </w:tbl>
    <w:p w14:paraId="3045BDF1" w14:textId="77777777" w:rsidR="000149DF" w:rsidRDefault="000149DF">
      <w:pPr>
        <w:spacing w:after="0"/>
      </w:pPr>
    </w:p>
    <w:p w14:paraId="7E94899C" w14:textId="77777777" w:rsidR="000149DF" w:rsidRDefault="00000000">
      <w:r>
        <w:t>Prihodi od prodaje zemljišta ostvareni su u iznosu od 54.245,98 € i odnose se na prodaju poljoprivrednog zemljišta i na prodaju građevinskog zemljišta što predstavlja  novi prihoda temeljem prenesenih poslova vezanih za raspolaganje državnom imovinom.</w:t>
      </w:r>
    </w:p>
    <w:p w14:paraId="23701551" w14:textId="77777777" w:rsidR="000149DF" w:rsidRDefault="000149DF"/>
    <w:p w14:paraId="1DEE90C8" w14:textId="77777777" w:rsidR="000149DF" w:rsidRDefault="00000000">
      <w:pPr>
        <w:keepNext/>
        <w:spacing w:line="240" w:lineRule="auto"/>
        <w:jc w:val="center"/>
      </w:pPr>
      <w:r>
        <w:rPr>
          <w:sz w:val="28"/>
        </w:rPr>
        <w:t>Bilješka 43.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30548ED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434FFA7"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0408FF2"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7DF0E6F"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33971CC"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DCF5ECD"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774A115" w14:textId="77777777" w:rsidR="000149DF" w:rsidRDefault="00000000">
            <w:pPr>
              <w:keepNext/>
              <w:keepLines/>
              <w:spacing w:after="0" w:line="240" w:lineRule="auto"/>
              <w:jc w:val="center"/>
            </w:pPr>
            <w:r>
              <w:rPr>
                <w:b/>
                <w:sz w:val="18"/>
              </w:rPr>
              <w:t>Indeks (%)</w:t>
            </w:r>
          </w:p>
        </w:tc>
      </w:tr>
      <w:tr w:rsidR="000149DF" w14:paraId="2D4AC949" w14:textId="77777777">
        <w:tblPrEx>
          <w:tblCellMar>
            <w:top w:w="0" w:type="dxa"/>
            <w:bottom w:w="0" w:type="dxa"/>
          </w:tblCellMar>
        </w:tblPrEx>
        <w:trPr>
          <w:cantSplit/>
          <w:trHeight w:val="560"/>
        </w:trPr>
        <w:tc>
          <w:tcPr>
            <w:tcW w:w="700" w:type="dxa"/>
            <w:tcMar>
              <w:top w:w="0" w:type="dxa"/>
              <w:bottom w:w="0" w:type="dxa"/>
            </w:tcMar>
            <w:vAlign w:val="center"/>
          </w:tcPr>
          <w:p w14:paraId="36F81995" w14:textId="77777777" w:rsidR="000149DF" w:rsidRDefault="00000000">
            <w:pPr>
              <w:keepNext/>
              <w:keepLines/>
              <w:spacing w:after="0" w:line="240" w:lineRule="auto"/>
            </w:pPr>
            <w:r>
              <w:rPr>
                <w:sz w:val="18"/>
              </w:rPr>
              <w:t>4124</w:t>
            </w:r>
          </w:p>
        </w:tc>
        <w:tc>
          <w:tcPr>
            <w:tcW w:w="3180" w:type="dxa"/>
            <w:tcMar>
              <w:top w:w="0" w:type="dxa"/>
              <w:bottom w:w="0" w:type="dxa"/>
            </w:tcMar>
            <w:vAlign w:val="center"/>
          </w:tcPr>
          <w:p w14:paraId="66FA364E" w14:textId="77777777" w:rsidR="000149DF" w:rsidRDefault="00000000">
            <w:pPr>
              <w:keepNext/>
              <w:keepLines/>
              <w:spacing w:after="0" w:line="240" w:lineRule="auto"/>
            </w:pPr>
            <w:r>
              <w:rPr>
                <w:sz w:val="18"/>
              </w:rPr>
              <w:t>Ostala prava</w:t>
            </w:r>
          </w:p>
        </w:tc>
        <w:tc>
          <w:tcPr>
            <w:tcW w:w="700" w:type="dxa"/>
            <w:tcMar>
              <w:top w:w="0" w:type="dxa"/>
              <w:bottom w:w="0" w:type="dxa"/>
            </w:tcMar>
            <w:vAlign w:val="center"/>
          </w:tcPr>
          <w:p w14:paraId="28022BA0" w14:textId="77777777" w:rsidR="000149DF" w:rsidRDefault="00000000">
            <w:pPr>
              <w:keepNext/>
              <w:keepLines/>
              <w:spacing w:after="0" w:line="240" w:lineRule="auto"/>
            </w:pPr>
            <w:r>
              <w:rPr>
                <w:sz w:val="18"/>
              </w:rPr>
              <w:t>4124</w:t>
            </w:r>
          </w:p>
        </w:tc>
        <w:tc>
          <w:tcPr>
            <w:tcW w:w="1860" w:type="dxa"/>
            <w:tcMar>
              <w:top w:w="0" w:type="dxa"/>
              <w:bottom w:w="0" w:type="dxa"/>
            </w:tcMar>
            <w:vAlign w:val="center"/>
          </w:tcPr>
          <w:p w14:paraId="76505211" w14:textId="77777777" w:rsidR="000149DF" w:rsidRDefault="00000000">
            <w:pPr>
              <w:keepNext/>
              <w:keepLines/>
              <w:spacing w:after="0" w:line="240" w:lineRule="auto"/>
              <w:jc w:val="right"/>
            </w:pPr>
            <w:r>
              <w:rPr>
                <w:sz w:val="18"/>
              </w:rPr>
              <w:t>731.213,80</w:t>
            </w:r>
          </w:p>
        </w:tc>
        <w:tc>
          <w:tcPr>
            <w:tcW w:w="1860" w:type="dxa"/>
            <w:tcMar>
              <w:top w:w="0" w:type="dxa"/>
              <w:bottom w:w="0" w:type="dxa"/>
            </w:tcMar>
            <w:vAlign w:val="center"/>
          </w:tcPr>
          <w:p w14:paraId="0269582E" w14:textId="77777777" w:rsidR="000149DF" w:rsidRDefault="00000000">
            <w:pPr>
              <w:keepNext/>
              <w:keepLines/>
              <w:spacing w:after="0" w:line="240" w:lineRule="auto"/>
              <w:jc w:val="right"/>
            </w:pPr>
            <w:r>
              <w:rPr>
                <w:sz w:val="18"/>
              </w:rPr>
              <w:t>999.541,05</w:t>
            </w:r>
          </w:p>
        </w:tc>
        <w:tc>
          <w:tcPr>
            <w:tcW w:w="700" w:type="dxa"/>
            <w:tcMar>
              <w:top w:w="0" w:type="dxa"/>
              <w:bottom w:w="0" w:type="dxa"/>
            </w:tcMar>
            <w:vAlign w:val="center"/>
          </w:tcPr>
          <w:p w14:paraId="1E6895E2" w14:textId="77777777" w:rsidR="000149DF" w:rsidRDefault="00000000">
            <w:pPr>
              <w:keepNext/>
              <w:keepLines/>
              <w:spacing w:after="0" w:line="240" w:lineRule="auto"/>
              <w:jc w:val="right"/>
            </w:pPr>
            <w:r>
              <w:rPr>
                <w:sz w:val="18"/>
              </w:rPr>
              <w:t>136,7</w:t>
            </w:r>
          </w:p>
        </w:tc>
      </w:tr>
    </w:tbl>
    <w:p w14:paraId="2918B942" w14:textId="77777777" w:rsidR="000149DF" w:rsidRDefault="000149DF">
      <w:pPr>
        <w:spacing w:after="0"/>
      </w:pPr>
    </w:p>
    <w:p w14:paraId="3487D43F" w14:textId="77777777" w:rsidR="000149DF" w:rsidRDefault="00000000">
      <w:r>
        <w:lastRenderedPageBreak/>
        <w:t>Ostala prava odnose se na prava služnosti za projekt navodnjavanja Koševo-Vrbovci u iznosu od  69.906,27 €, na obnovu objekta centra aktivnog turizma Vidonje u iznosu od 352.785,24 €, na ulaganje u Društveni dom Visočani u iznosu 56.648,78 €, na ulaganje po EU projektu ACTIVE - izgradnja i uređenje sportsko rekracijske infrastrukture u iznosu od 410.076,87 € i Depo lijekova Mljet u iznosu od 110.123,89 €.</w:t>
      </w:r>
    </w:p>
    <w:p w14:paraId="59E6425C" w14:textId="77777777" w:rsidR="000149DF" w:rsidRDefault="000149DF"/>
    <w:p w14:paraId="718CBC94" w14:textId="77777777" w:rsidR="000149DF" w:rsidRDefault="00000000">
      <w:pPr>
        <w:keepNext/>
        <w:spacing w:line="240" w:lineRule="auto"/>
        <w:jc w:val="center"/>
      </w:pPr>
      <w:r>
        <w:rPr>
          <w:sz w:val="28"/>
        </w:rPr>
        <w:t>Bilješka 44.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457A34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F2B6EF4"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04C63C8"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D9C9AAB"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BE64FA3"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D8A0D4A"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42CC393" w14:textId="77777777" w:rsidR="000149DF" w:rsidRDefault="00000000">
            <w:pPr>
              <w:keepNext/>
              <w:keepLines/>
              <w:spacing w:after="0" w:line="240" w:lineRule="auto"/>
              <w:jc w:val="center"/>
            </w:pPr>
            <w:r>
              <w:rPr>
                <w:b/>
                <w:sz w:val="18"/>
              </w:rPr>
              <w:t>Indeks (%)</w:t>
            </w:r>
          </w:p>
        </w:tc>
      </w:tr>
      <w:tr w:rsidR="000149DF" w14:paraId="6A83FFFB" w14:textId="77777777">
        <w:tblPrEx>
          <w:tblCellMar>
            <w:top w:w="0" w:type="dxa"/>
            <w:bottom w:w="0" w:type="dxa"/>
          </w:tblCellMar>
        </w:tblPrEx>
        <w:trPr>
          <w:cantSplit/>
          <w:trHeight w:val="560"/>
        </w:trPr>
        <w:tc>
          <w:tcPr>
            <w:tcW w:w="700" w:type="dxa"/>
            <w:tcMar>
              <w:top w:w="0" w:type="dxa"/>
              <w:bottom w:w="0" w:type="dxa"/>
            </w:tcMar>
            <w:vAlign w:val="center"/>
          </w:tcPr>
          <w:p w14:paraId="011F1869" w14:textId="77777777" w:rsidR="000149DF" w:rsidRDefault="00000000">
            <w:pPr>
              <w:keepNext/>
              <w:keepLines/>
              <w:spacing w:after="0" w:line="240" w:lineRule="auto"/>
            </w:pPr>
            <w:r>
              <w:rPr>
                <w:sz w:val="18"/>
              </w:rPr>
              <w:t>4212</w:t>
            </w:r>
          </w:p>
        </w:tc>
        <w:tc>
          <w:tcPr>
            <w:tcW w:w="3180" w:type="dxa"/>
            <w:tcMar>
              <w:top w:w="0" w:type="dxa"/>
              <w:bottom w:w="0" w:type="dxa"/>
            </w:tcMar>
            <w:vAlign w:val="center"/>
          </w:tcPr>
          <w:p w14:paraId="20F82A2C" w14:textId="77777777" w:rsidR="000149DF" w:rsidRDefault="00000000">
            <w:pPr>
              <w:keepNext/>
              <w:keepLines/>
              <w:spacing w:after="0" w:line="240" w:lineRule="auto"/>
            </w:pPr>
            <w:r>
              <w:rPr>
                <w:sz w:val="18"/>
              </w:rPr>
              <w:t>Poslovni objekti</w:t>
            </w:r>
          </w:p>
        </w:tc>
        <w:tc>
          <w:tcPr>
            <w:tcW w:w="700" w:type="dxa"/>
            <w:tcMar>
              <w:top w:w="0" w:type="dxa"/>
              <w:bottom w:w="0" w:type="dxa"/>
            </w:tcMar>
            <w:vAlign w:val="center"/>
          </w:tcPr>
          <w:p w14:paraId="6B768C09" w14:textId="77777777" w:rsidR="000149DF" w:rsidRDefault="00000000">
            <w:pPr>
              <w:keepNext/>
              <w:keepLines/>
              <w:spacing w:after="0" w:line="240" w:lineRule="auto"/>
            </w:pPr>
            <w:r>
              <w:rPr>
                <w:sz w:val="18"/>
              </w:rPr>
              <w:t>4212</w:t>
            </w:r>
          </w:p>
        </w:tc>
        <w:tc>
          <w:tcPr>
            <w:tcW w:w="1860" w:type="dxa"/>
            <w:tcMar>
              <w:top w:w="0" w:type="dxa"/>
              <w:bottom w:w="0" w:type="dxa"/>
            </w:tcMar>
            <w:vAlign w:val="center"/>
          </w:tcPr>
          <w:p w14:paraId="3DE72780" w14:textId="77777777" w:rsidR="000149DF" w:rsidRDefault="00000000">
            <w:pPr>
              <w:keepNext/>
              <w:keepLines/>
              <w:spacing w:after="0" w:line="240" w:lineRule="auto"/>
              <w:jc w:val="right"/>
            </w:pPr>
            <w:r>
              <w:rPr>
                <w:sz w:val="18"/>
              </w:rPr>
              <w:t>193.713,75</w:t>
            </w:r>
          </w:p>
        </w:tc>
        <w:tc>
          <w:tcPr>
            <w:tcW w:w="1860" w:type="dxa"/>
            <w:tcMar>
              <w:top w:w="0" w:type="dxa"/>
              <w:bottom w:w="0" w:type="dxa"/>
            </w:tcMar>
            <w:vAlign w:val="center"/>
          </w:tcPr>
          <w:p w14:paraId="67E31CDC" w14:textId="77777777" w:rsidR="000149DF" w:rsidRDefault="00000000">
            <w:pPr>
              <w:keepNext/>
              <w:keepLines/>
              <w:spacing w:after="0" w:line="240" w:lineRule="auto"/>
              <w:jc w:val="right"/>
            </w:pPr>
            <w:r>
              <w:rPr>
                <w:sz w:val="18"/>
              </w:rPr>
              <w:t>455.486,86</w:t>
            </w:r>
          </w:p>
        </w:tc>
        <w:tc>
          <w:tcPr>
            <w:tcW w:w="700" w:type="dxa"/>
            <w:tcMar>
              <w:top w:w="0" w:type="dxa"/>
              <w:bottom w:w="0" w:type="dxa"/>
            </w:tcMar>
            <w:vAlign w:val="center"/>
          </w:tcPr>
          <w:p w14:paraId="0ED70914" w14:textId="77777777" w:rsidR="000149DF" w:rsidRDefault="00000000">
            <w:pPr>
              <w:keepNext/>
              <w:keepLines/>
              <w:spacing w:after="0" w:line="240" w:lineRule="auto"/>
              <w:jc w:val="right"/>
            </w:pPr>
            <w:r>
              <w:rPr>
                <w:sz w:val="18"/>
              </w:rPr>
              <w:t>235,1</w:t>
            </w:r>
          </w:p>
        </w:tc>
      </w:tr>
    </w:tbl>
    <w:p w14:paraId="65003778" w14:textId="77777777" w:rsidR="000149DF" w:rsidRDefault="000149DF">
      <w:pPr>
        <w:spacing w:after="0"/>
      </w:pPr>
    </w:p>
    <w:p w14:paraId="545CD707" w14:textId="77777777" w:rsidR="000149DF" w:rsidRDefault="00000000">
      <w:r>
        <w:t>Iznos od 407.214,34 odnosi se na ulaganje u izgradnju sportske dvorane pri OŠ Ston po EU projektu ACTIVE, Iznos od 37.022,52 € odnosi se na ulaganje po EU projektu Inkluzivni centar Korčula i iznos od 11.250,00 € odnosi se na kapitalne projekte u školstvu.</w:t>
      </w:r>
    </w:p>
    <w:p w14:paraId="08B1F89E" w14:textId="77777777" w:rsidR="000149DF" w:rsidRDefault="000149DF"/>
    <w:p w14:paraId="2E9B8D68" w14:textId="77777777" w:rsidR="000149DF" w:rsidRDefault="00000000">
      <w:pPr>
        <w:keepNext/>
        <w:spacing w:line="240" w:lineRule="auto"/>
        <w:jc w:val="center"/>
      </w:pPr>
      <w:r>
        <w:rPr>
          <w:sz w:val="28"/>
        </w:rPr>
        <w:t>Bilješka 45.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DC54CB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08C979D"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CA12ACA"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DF36F88"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F0AA0AD"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5C2F8BF"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3CD8072" w14:textId="77777777" w:rsidR="000149DF" w:rsidRDefault="00000000">
            <w:pPr>
              <w:keepNext/>
              <w:keepLines/>
              <w:spacing w:after="0" w:line="240" w:lineRule="auto"/>
              <w:jc w:val="center"/>
            </w:pPr>
            <w:r>
              <w:rPr>
                <w:b/>
                <w:sz w:val="18"/>
              </w:rPr>
              <w:t>Indeks (%)</w:t>
            </w:r>
          </w:p>
        </w:tc>
      </w:tr>
      <w:tr w:rsidR="000149DF" w14:paraId="06BCF731" w14:textId="77777777">
        <w:tblPrEx>
          <w:tblCellMar>
            <w:top w:w="0" w:type="dxa"/>
            <w:bottom w:w="0" w:type="dxa"/>
          </w:tblCellMar>
        </w:tblPrEx>
        <w:trPr>
          <w:cantSplit/>
          <w:trHeight w:val="560"/>
        </w:trPr>
        <w:tc>
          <w:tcPr>
            <w:tcW w:w="700" w:type="dxa"/>
            <w:tcMar>
              <w:top w:w="0" w:type="dxa"/>
              <w:bottom w:w="0" w:type="dxa"/>
            </w:tcMar>
            <w:vAlign w:val="center"/>
          </w:tcPr>
          <w:p w14:paraId="251CBDE8" w14:textId="77777777" w:rsidR="000149DF" w:rsidRDefault="00000000">
            <w:pPr>
              <w:keepNext/>
              <w:keepLines/>
              <w:spacing w:after="0" w:line="240" w:lineRule="auto"/>
            </w:pPr>
            <w:r>
              <w:rPr>
                <w:sz w:val="18"/>
              </w:rPr>
              <w:t>4214</w:t>
            </w:r>
          </w:p>
        </w:tc>
        <w:tc>
          <w:tcPr>
            <w:tcW w:w="3180" w:type="dxa"/>
            <w:tcMar>
              <w:top w:w="0" w:type="dxa"/>
              <w:bottom w:w="0" w:type="dxa"/>
            </w:tcMar>
            <w:vAlign w:val="center"/>
          </w:tcPr>
          <w:p w14:paraId="5AAE3450" w14:textId="77777777" w:rsidR="000149DF" w:rsidRDefault="00000000">
            <w:pPr>
              <w:keepNext/>
              <w:keepLines/>
              <w:spacing w:after="0" w:line="240" w:lineRule="auto"/>
            </w:pPr>
            <w:r>
              <w:rPr>
                <w:sz w:val="18"/>
              </w:rPr>
              <w:t>Ostali građevinski objekti</w:t>
            </w:r>
          </w:p>
        </w:tc>
        <w:tc>
          <w:tcPr>
            <w:tcW w:w="700" w:type="dxa"/>
            <w:tcMar>
              <w:top w:w="0" w:type="dxa"/>
              <w:bottom w:w="0" w:type="dxa"/>
            </w:tcMar>
            <w:vAlign w:val="center"/>
          </w:tcPr>
          <w:p w14:paraId="6819C264" w14:textId="77777777" w:rsidR="000149DF" w:rsidRDefault="00000000">
            <w:pPr>
              <w:keepNext/>
              <w:keepLines/>
              <w:spacing w:after="0" w:line="240" w:lineRule="auto"/>
            </w:pPr>
            <w:r>
              <w:rPr>
                <w:sz w:val="18"/>
              </w:rPr>
              <w:t>4214</w:t>
            </w:r>
          </w:p>
        </w:tc>
        <w:tc>
          <w:tcPr>
            <w:tcW w:w="1860" w:type="dxa"/>
            <w:tcMar>
              <w:top w:w="0" w:type="dxa"/>
              <w:bottom w:w="0" w:type="dxa"/>
            </w:tcMar>
            <w:vAlign w:val="center"/>
          </w:tcPr>
          <w:p w14:paraId="3F4374A8" w14:textId="77777777" w:rsidR="000149DF" w:rsidRDefault="00000000">
            <w:pPr>
              <w:keepNext/>
              <w:keepLines/>
              <w:spacing w:after="0" w:line="240" w:lineRule="auto"/>
              <w:jc w:val="right"/>
            </w:pPr>
            <w:r>
              <w:rPr>
                <w:sz w:val="18"/>
              </w:rPr>
              <w:t>75.836,64</w:t>
            </w:r>
          </w:p>
        </w:tc>
        <w:tc>
          <w:tcPr>
            <w:tcW w:w="1860" w:type="dxa"/>
            <w:tcMar>
              <w:top w:w="0" w:type="dxa"/>
              <w:bottom w:w="0" w:type="dxa"/>
            </w:tcMar>
            <w:vAlign w:val="center"/>
          </w:tcPr>
          <w:p w14:paraId="19DF3450" w14:textId="77777777" w:rsidR="000149DF" w:rsidRDefault="00000000">
            <w:pPr>
              <w:keepNext/>
              <w:keepLines/>
              <w:spacing w:after="0" w:line="240" w:lineRule="auto"/>
              <w:jc w:val="right"/>
            </w:pPr>
            <w:r>
              <w:rPr>
                <w:sz w:val="18"/>
              </w:rPr>
              <w:t>306.212,19</w:t>
            </w:r>
          </w:p>
        </w:tc>
        <w:tc>
          <w:tcPr>
            <w:tcW w:w="700" w:type="dxa"/>
            <w:tcMar>
              <w:top w:w="0" w:type="dxa"/>
              <w:bottom w:w="0" w:type="dxa"/>
            </w:tcMar>
            <w:vAlign w:val="center"/>
          </w:tcPr>
          <w:p w14:paraId="22E6AE64" w14:textId="77777777" w:rsidR="000149DF" w:rsidRDefault="00000000">
            <w:pPr>
              <w:keepNext/>
              <w:keepLines/>
              <w:spacing w:after="0" w:line="240" w:lineRule="auto"/>
              <w:jc w:val="right"/>
            </w:pPr>
            <w:r>
              <w:rPr>
                <w:sz w:val="18"/>
              </w:rPr>
              <w:t>403,8</w:t>
            </w:r>
          </w:p>
        </w:tc>
      </w:tr>
    </w:tbl>
    <w:p w14:paraId="1A63C382" w14:textId="77777777" w:rsidR="000149DF" w:rsidRDefault="000149DF">
      <w:pPr>
        <w:spacing w:after="0"/>
      </w:pPr>
    </w:p>
    <w:p w14:paraId="00500841" w14:textId="77777777" w:rsidR="000149DF" w:rsidRDefault="00000000">
      <w:r>
        <w:t>Ostali građevinski objekti  izvršeni su u iznosu od 306.212,19 €, a odnose se na ulaganje u hortikulturno uređenje zelenih površina oko zgrade JU za upravljanje zaštićenim dijelovima prirode DNŽ.</w:t>
      </w:r>
    </w:p>
    <w:p w14:paraId="195957AB" w14:textId="77777777" w:rsidR="000149DF" w:rsidRDefault="000149DF"/>
    <w:p w14:paraId="1384FB7D" w14:textId="77777777" w:rsidR="000149DF" w:rsidRDefault="00000000">
      <w:pPr>
        <w:keepNext/>
        <w:spacing w:line="240" w:lineRule="auto"/>
        <w:jc w:val="center"/>
      </w:pPr>
      <w:r>
        <w:rPr>
          <w:sz w:val="28"/>
        </w:rPr>
        <w:t>Bilješka 46.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2E95208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FB0AD60"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7F82C65"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6CC2018"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FF806CB"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9297DEC"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7D0C151" w14:textId="77777777" w:rsidR="000149DF" w:rsidRDefault="00000000">
            <w:pPr>
              <w:keepNext/>
              <w:keepLines/>
              <w:spacing w:after="0" w:line="240" w:lineRule="auto"/>
              <w:jc w:val="center"/>
            </w:pPr>
            <w:r>
              <w:rPr>
                <w:b/>
                <w:sz w:val="18"/>
              </w:rPr>
              <w:t>Indeks (%)</w:t>
            </w:r>
          </w:p>
        </w:tc>
      </w:tr>
      <w:tr w:rsidR="000149DF" w14:paraId="566B0E86" w14:textId="77777777">
        <w:tblPrEx>
          <w:tblCellMar>
            <w:top w:w="0" w:type="dxa"/>
            <w:bottom w:w="0" w:type="dxa"/>
          </w:tblCellMar>
        </w:tblPrEx>
        <w:trPr>
          <w:cantSplit/>
          <w:trHeight w:val="560"/>
        </w:trPr>
        <w:tc>
          <w:tcPr>
            <w:tcW w:w="700" w:type="dxa"/>
            <w:tcMar>
              <w:top w:w="0" w:type="dxa"/>
              <w:bottom w:w="0" w:type="dxa"/>
            </w:tcMar>
            <w:vAlign w:val="center"/>
          </w:tcPr>
          <w:p w14:paraId="2A0EE983" w14:textId="77777777" w:rsidR="000149DF" w:rsidRDefault="00000000">
            <w:pPr>
              <w:keepNext/>
              <w:keepLines/>
              <w:spacing w:after="0" w:line="240" w:lineRule="auto"/>
            </w:pPr>
            <w:r>
              <w:rPr>
                <w:sz w:val="18"/>
              </w:rPr>
              <w:t>4223</w:t>
            </w:r>
          </w:p>
        </w:tc>
        <w:tc>
          <w:tcPr>
            <w:tcW w:w="3180" w:type="dxa"/>
            <w:tcMar>
              <w:top w:w="0" w:type="dxa"/>
              <w:bottom w:w="0" w:type="dxa"/>
            </w:tcMar>
            <w:vAlign w:val="center"/>
          </w:tcPr>
          <w:p w14:paraId="19211F15" w14:textId="77777777" w:rsidR="000149DF" w:rsidRDefault="00000000">
            <w:pPr>
              <w:keepNext/>
              <w:keepLines/>
              <w:spacing w:after="0" w:line="240" w:lineRule="auto"/>
            </w:pPr>
            <w:r>
              <w:rPr>
                <w:sz w:val="18"/>
              </w:rPr>
              <w:t>Oprema za održavanje i zaštitu</w:t>
            </w:r>
          </w:p>
        </w:tc>
        <w:tc>
          <w:tcPr>
            <w:tcW w:w="700" w:type="dxa"/>
            <w:tcMar>
              <w:top w:w="0" w:type="dxa"/>
              <w:bottom w:w="0" w:type="dxa"/>
            </w:tcMar>
            <w:vAlign w:val="center"/>
          </w:tcPr>
          <w:p w14:paraId="26B22FF6" w14:textId="77777777" w:rsidR="000149DF" w:rsidRDefault="00000000">
            <w:pPr>
              <w:keepNext/>
              <w:keepLines/>
              <w:spacing w:after="0" w:line="240" w:lineRule="auto"/>
            </w:pPr>
            <w:r>
              <w:rPr>
                <w:sz w:val="18"/>
              </w:rPr>
              <w:t>4223</w:t>
            </w:r>
          </w:p>
        </w:tc>
        <w:tc>
          <w:tcPr>
            <w:tcW w:w="1860" w:type="dxa"/>
            <w:tcMar>
              <w:top w:w="0" w:type="dxa"/>
              <w:bottom w:w="0" w:type="dxa"/>
            </w:tcMar>
            <w:vAlign w:val="center"/>
          </w:tcPr>
          <w:p w14:paraId="1CE6C736" w14:textId="77777777" w:rsidR="000149DF" w:rsidRDefault="00000000">
            <w:pPr>
              <w:keepNext/>
              <w:keepLines/>
              <w:spacing w:after="0" w:line="240" w:lineRule="auto"/>
              <w:jc w:val="right"/>
            </w:pPr>
            <w:r>
              <w:rPr>
                <w:sz w:val="18"/>
              </w:rPr>
              <w:t>4.880,04</w:t>
            </w:r>
          </w:p>
        </w:tc>
        <w:tc>
          <w:tcPr>
            <w:tcW w:w="1860" w:type="dxa"/>
            <w:tcMar>
              <w:top w:w="0" w:type="dxa"/>
              <w:bottom w:w="0" w:type="dxa"/>
            </w:tcMar>
            <w:vAlign w:val="center"/>
          </w:tcPr>
          <w:p w14:paraId="5C752A19" w14:textId="77777777" w:rsidR="000149DF" w:rsidRDefault="00000000">
            <w:pPr>
              <w:keepNext/>
              <w:keepLines/>
              <w:spacing w:after="0" w:line="240" w:lineRule="auto"/>
              <w:jc w:val="right"/>
            </w:pPr>
            <w:r>
              <w:rPr>
                <w:sz w:val="18"/>
              </w:rPr>
              <w:t>197.447,34</w:t>
            </w:r>
          </w:p>
        </w:tc>
        <w:tc>
          <w:tcPr>
            <w:tcW w:w="700" w:type="dxa"/>
            <w:tcMar>
              <w:top w:w="0" w:type="dxa"/>
              <w:bottom w:w="0" w:type="dxa"/>
            </w:tcMar>
            <w:vAlign w:val="center"/>
          </w:tcPr>
          <w:p w14:paraId="15DCE5DD" w14:textId="77777777" w:rsidR="000149DF" w:rsidRDefault="00000000">
            <w:pPr>
              <w:keepNext/>
              <w:keepLines/>
              <w:spacing w:after="0" w:line="240" w:lineRule="auto"/>
              <w:jc w:val="right"/>
            </w:pPr>
            <w:r>
              <w:rPr>
                <w:sz w:val="18"/>
              </w:rPr>
              <w:t>4046,0</w:t>
            </w:r>
          </w:p>
        </w:tc>
      </w:tr>
    </w:tbl>
    <w:p w14:paraId="64191035" w14:textId="77777777" w:rsidR="000149DF" w:rsidRDefault="000149DF">
      <w:pPr>
        <w:spacing w:after="0"/>
      </w:pPr>
    </w:p>
    <w:p w14:paraId="308F9FD1" w14:textId="77777777" w:rsidR="000149DF" w:rsidRDefault="00000000">
      <w:r>
        <w:t>Oprema za održavanje i  zaštitu odnosi se na nabavu vatrogasne opreme u iznosu od 194.027,50 €  po EU projektu Handy i na nabavu klima uređaja u iznosu od 3.063,75 za stožer civilne zaštite i usisivača za potrebe redovnog poslovanja u iznosu od 356,09 €.</w:t>
      </w:r>
    </w:p>
    <w:p w14:paraId="10F2D13F" w14:textId="77777777" w:rsidR="000149DF" w:rsidRDefault="000149DF"/>
    <w:p w14:paraId="4E5219D4" w14:textId="77777777" w:rsidR="000149DF" w:rsidRDefault="00000000">
      <w:pPr>
        <w:keepNext/>
        <w:spacing w:line="240" w:lineRule="auto"/>
        <w:jc w:val="center"/>
      </w:pPr>
      <w:r>
        <w:rPr>
          <w:sz w:val="28"/>
        </w:rPr>
        <w:lastRenderedPageBreak/>
        <w:t>Bilješka 47.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F72A15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EB5BFD8"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D8D9589"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BAEA155"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56FF753"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36FDC89"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56C1BC7" w14:textId="77777777" w:rsidR="000149DF" w:rsidRDefault="00000000">
            <w:pPr>
              <w:keepNext/>
              <w:keepLines/>
              <w:spacing w:after="0" w:line="240" w:lineRule="auto"/>
              <w:jc w:val="center"/>
            </w:pPr>
            <w:r>
              <w:rPr>
                <w:b/>
                <w:sz w:val="18"/>
              </w:rPr>
              <w:t>Indeks (%)</w:t>
            </w:r>
          </w:p>
        </w:tc>
      </w:tr>
      <w:tr w:rsidR="000149DF" w14:paraId="3CEF5456" w14:textId="77777777">
        <w:tblPrEx>
          <w:tblCellMar>
            <w:top w:w="0" w:type="dxa"/>
            <w:bottom w:w="0" w:type="dxa"/>
          </w:tblCellMar>
        </w:tblPrEx>
        <w:trPr>
          <w:cantSplit/>
          <w:trHeight w:val="560"/>
        </w:trPr>
        <w:tc>
          <w:tcPr>
            <w:tcW w:w="700" w:type="dxa"/>
            <w:tcMar>
              <w:top w:w="0" w:type="dxa"/>
              <w:bottom w:w="0" w:type="dxa"/>
            </w:tcMar>
            <w:vAlign w:val="center"/>
          </w:tcPr>
          <w:p w14:paraId="7BA49724" w14:textId="77777777" w:rsidR="000149DF" w:rsidRDefault="00000000">
            <w:pPr>
              <w:keepNext/>
              <w:keepLines/>
              <w:spacing w:after="0" w:line="240" w:lineRule="auto"/>
            </w:pPr>
            <w:r>
              <w:rPr>
                <w:sz w:val="18"/>
              </w:rPr>
              <w:t>4225</w:t>
            </w:r>
          </w:p>
        </w:tc>
        <w:tc>
          <w:tcPr>
            <w:tcW w:w="3180" w:type="dxa"/>
            <w:tcMar>
              <w:top w:w="0" w:type="dxa"/>
              <w:bottom w:w="0" w:type="dxa"/>
            </w:tcMar>
            <w:vAlign w:val="center"/>
          </w:tcPr>
          <w:p w14:paraId="744728AD" w14:textId="77777777" w:rsidR="000149DF" w:rsidRDefault="00000000">
            <w:pPr>
              <w:keepNext/>
              <w:keepLines/>
              <w:spacing w:after="0" w:line="240" w:lineRule="auto"/>
            </w:pPr>
            <w:r>
              <w:rPr>
                <w:sz w:val="18"/>
              </w:rPr>
              <w:t>Instrumenti i uređaji</w:t>
            </w:r>
          </w:p>
        </w:tc>
        <w:tc>
          <w:tcPr>
            <w:tcW w:w="700" w:type="dxa"/>
            <w:tcMar>
              <w:top w:w="0" w:type="dxa"/>
              <w:bottom w:w="0" w:type="dxa"/>
            </w:tcMar>
            <w:vAlign w:val="center"/>
          </w:tcPr>
          <w:p w14:paraId="68F06490" w14:textId="77777777" w:rsidR="000149DF" w:rsidRDefault="00000000">
            <w:pPr>
              <w:keepNext/>
              <w:keepLines/>
              <w:spacing w:after="0" w:line="240" w:lineRule="auto"/>
            </w:pPr>
            <w:r>
              <w:rPr>
                <w:sz w:val="18"/>
              </w:rPr>
              <w:t>4225</w:t>
            </w:r>
          </w:p>
        </w:tc>
        <w:tc>
          <w:tcPr>
            <w:tcW w:w="1860" w:type="dxa"/>
            <w:tcMar>
              <w:top w:w="0" w:type="dxa"/>
              <w:bottom w:w="0" w:type="dxa"/>
            </w:tcMar>
            <w:vAlign w:val="center"/>
          </w:tcPr>
          <w:p w14:paraId="694EE1EB" w14:textId="77777777" w:rsidR="000149DF" w:rsidRDefault="00000000">
            <w:pPr>
              <w:keepNext/>
              <w:keepLines/>
              <w:spacing w:after="0" w:line="240" w:lineRule="auto"/>
              <w:jc w:val="right"/>
            </w:pPr>
            <w:r>
              <w:rPr>
                <w:sz w:val="18"/>
              </w:rPr>
              <w:t>0,00</w:t>
            </w:r>
          </w:p>
        </w:tc>
        <w:tc>
          <w:tcPr>
            <w:tcW w:w="1860" w:type="dxa"/>
            <w:tcMar>
              <w:top w:w="0" w:type="dxa"/>
              <w:bottom w:w="0" w:type="dxa"/>
            </w:tcMar>
            <w:vAlign w:val="center"/>
          </w:tcPr>
          <w:p w14:paraId="123DED02" w14:textId="77777777" w:rsidR="000149DF" w:rsidRDefault="00000000">
            <w:pPr>
              <w:keepNext/>
              <w:keepLines/>
              <w:spacing w:after="0" w:line="240" w:lineRule="auto"/>
              <w:jc w:val="right"/>
            </w:pPr>
            <w:r>
              <w:rPr>
                <w:sz w:val="18"/>
              </w:rPr>
              <w:t>10.020,45</w:t>
            </w:r>
          </w:p>
        </w:tc>
        <w:tc>
          <w:tcPr>
            <w:tcW w:w="700" w:type="dxa"/>
            <w:tcMar>
              <w:top w:w="0" w:type="dxa"/>
              <w:bottom w:w="0" w:type="dxa"/>
            </w:tcMar>
            <w:vAlign w:val="center"/>
          </w:tcPr>
          <w:p w14:paraId="6CBA2A22" w14:textId="77777777" w:rsidR="000149DF" w:rsidRDefault="00000000">
            <w:pPr>
              <w:keepNext/>
              <w:keepLines/>
              <w:spacing w:after="0" w:line="240" w:lineRule="auto"/>
              <w:jc w:val="right"/>
            </w:pPr>
            <w:r>
              <w:rPr>
                <w:sz w:val="18"/>
              </w:rPr>
              <w:t>-</w:t>
            </w:r>
          </w:p>
        </w:tc>
      </w:tr>
    </w:tbl>
    <w:p w14:paraId="448335FE" w14:textId="77777777" w:rsidR="000149DF" w:rsidRDefault="000149DF">
      <w:pPr>
        <w:spacing w:after="0"/>
      </w:pPr>
    </w:p>
    <w:p w14:paraId="78BB2770" w14:textId="77777777" w:rsidR="000149DF" w:rsidRDefault="00000000">
      <w:r>
        <w:t>Iznos od 10.020,45 € odnosi se na nabavu agrometeorološke stanice po EU projektu Mowaclim.</w:t>
      </w:r>
    </w:p>
    <w:p w14:paraId="3EE4EF8B" w14:textId="77777777" w:rsidR="000149DF" w:rsidRDefault="000149DF"/>
    <w:p w14:paraId="6FC68B13" w14:textId="77777777" w:rsidR="000149DF" w:rsidRDefault="00000000">
      <w:pPr>
        <w:keepNext/>
        <w:spacing w:line="240" w:lineRule="auto"/>
        <w:jc w:val="center"/>
      </w:pPr>
      <w:r>
        <w:rPr>
          <w:sz w:val="28"/>
        </w:rPr>
        <w:t>Bilješka 48.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56183A7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ED2411A"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3185D2F"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8BBACA3"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2DADDE2"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17ED376"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9831DBA" w14:textId="77777777" w:rsidR="000149DF" w:rsidRDefault="00000000">
            <w:pPr>
              <w:keepNext/>
              <w:keepLines/>
              <w:spacing w:after="0" w:line="240" w:lineRule="auto"/>
              <w:jc w:val="center"/>
            </w:pPr>
            <w:r>
              <w:rPr>
                <w:b/>
                <w:sz w:val="18"/>
              </w:rPr>
              <w:t>Indeks (%)</w:t>
            </w:r>
          </w:p>
        </w:tc>
      </w:tr>
      <w:tr w:rsidR="000149DF" w14:paraId="5E0F448A" w14:textId="77777777">
        <w:tblPrEx>
          <w:tblCellMar>
            <w:top w:w="0" w:type="dxa"/>
            <w:bottom w:w="0" w:type="dxa"/>
          </w:tblCellMar>
        </w:tblPrEx>
        <w:trPr>
          <w:cantSplit/>
          <w:trHeight w:val="560"/>
        </w:trPr>
        <w:tc>
          <w:tcPr>
            <w:tcW w:w="700" w:type="dxa"/>
            <w:tcMar>
              <w:top w:w="0" w:type="dxa"/>
              <w:bottom w:w="0" w:type="dxa"/>
            </w:tcMar>
            <w:vAlign w:val="center"/>
          </w:tcPr>
          <w:p w14:paraId="7A87D586" w14:textId="77777777" w:rsidR="000149DF" w:rsidRDefault="00000000">
            <w:pPr>
              <w:keepNext/>
              <w:keepLines/>
              <w:spacing w:after="0" w:line="240" w:lineRule="auto"/>
            </w:pPr>
            <w:r>
              <w:rPr>
                <w:sz w:val="18"/>
              </w:rPr>
              <w:t>423</w:t>
            </w:r>
          </w:p>
        </w:tc>
        <w:tc>
          <w:tcPr>
            <w:tcW w:w="3180" w:type="dxa"/>
            <w:tcMar>
              <w:top w:w="0" w:type="dxa"/>
              <w:bottom w:w="0" w:type="dxa"/>
            </w:tcMar>
            <w:vAlign w:val="center"/>
          </w:tcPr>
          <w:p w14:paraId="48175DE8" w14:textId="77777777" w:rsidR="000149DF" w:rsidRDefault="00000000">
            <w:pPr>
              <w:keepNext/>
              <w:keepLines/>
              <w:spacing w:after="0" w:line="240" w:lineRule="auto"/>
            </w:pPr>
            <w:r>
              <w:rPr>
                <w:sz w:val="18"/>
              </w:rPr>
              <w:t>Prijevozna sredstva (šifre 4231 do 4234)</w:t>
            </w:r>
          </w:p>
        </w:tc>
        <w:tc>
          <w:tcPr>
            <w:tcW w:w="700" w:type="dxa"/>
            <w:tcMar>
              <w:top w:w="0" w:type="dxa"/>
              <w:bottom w:w="0" w:type="dxa"/>
            </w:tcMar>
            <w:vAlign w:val="center"/>
          </w:tcPr>
          <w:p w14:paraId="437A5A3C" w14:textId="77777777" w:rsidR="000149DF" w:rsidRDefault="00000000">
            <w:pPr>
              <w:keepNext/>
              <w:keepLines/>
              <w:spacing w:after="0" w:line="240" w:lineRule="auto"/>
            </w:pPr>
            <w:r>
              <w:rPr>
                <w:sz w:val="18"/>
              </w:rPr>
              <w:t>423</w:t>
            </w:r>
          </w:p>
        </w:tc>
        <w:tc>
          <w:tcPr>
            <w:tcW w:w="1860" w:type="dxa"/>
            <w:tcMar>
              <w:top w:w="0" w:type="dxa"/>
              <w:bottom w:w="0" w:type="dxa"/>
            </w:tcMar>
            <w:vAlign w:val="center"/>
          </w:tcPr>
          <w:p w14:paraId="47E4782D" w14:textId="77777777" w:rsidR="000149DF" w:rsidRDefault="00000000">
            <w:pPr>
              <w:keepNext/>
              <w:keepLines/>
              <w:spacing w:after="0" w:line="240" w:lineRule="auto"/>
              <w:jc w:val="right"/>
            </w:pPr>
            <w:r>
              <w:rPr>
                <w:sz w:val="18"/>
              </w:rPr>
              <w:t>0,00</w:t>
            </w:r>
          </w:p>
        </w:tc>
        <w:tc>
          <w:tcPr>
            <w:tcW w:w="1860" w:type="dxa"/>
            <w:tcMar>
              <w:top w:w="0" w:type="dxa"/>
              <w:bottom w:w="0" w:type="dxa"/>
            </w:tcMar>
            <w:vAlign w:val="center"/>
          </w:tcPr>
          <w:p w14:paraId="22E34206" w14:textId="77777777" w:rsidR="000149DF" w:rsidRDefault="00000000">
            <w:pPr>
              <w:keepNext/>
              <w:keepLines/>
              <w:spacing w:after="0" w:line="240" w:lineRule="auto"/>
              <w:jc w:val="right"/>
            </w:pPr>
            <w:r>
              <w:rPr>
                <w:sz w:val="18"/>
              </w:rPr>
              <w:t>22.460,00</w:t>
            </w:r>
          </w:p>
        </w:tc>
        <w:tc>
          <w:tcPr>
            <w:tcW w:w="700" w:type="dxa"/>
            <w:tcMar>
              <w:top w:w="0" w:type="dxa"/>
              <w:bottom w:w="0" w:type="dxa"/>
            </w:tcMar>
            <w:vAlign w:val="center"/>
          </w:tcPr>
          <w:p w14:paraId="03689455" w14:textId="77777777" w:rsidR="000149DF" w:rsidRDefault="00000000">
            <w:pPr>
              <w:keepNext/>
              <w:keepLines/>
              <w:spacing w:after="0" w:line="240" w:lineRule="auto"/>
              <w:jc w:val="right"/>
            </w:pPr>
            <w:r>
              <w:rPr>
                <w:sz w:val="18"/>
              </w:rPr>
              <w:t>-</w:t>
            </w:r>
          </w:p>
        </w:tc>
      </w:tr>
    </w:tbl>
    <w:p w14:paraId="0AC53CCD" w14:textId="77777777" w:rsidR="000149DF" w:rsidRDefault="000149DF">
      <w:pPr>
        <w:spacing w:after="0"/>
      </w:pPr>
    </w:p>
    <w:p w14:paraId="4BBA2FB5" w14:textId="77777777" w:rsidR="000149DF" w:rsidRDefault="00000000">
      <w:r>
        <w:t>U 2025. godini nabavljeno je osobno vozilo Toyota Yaris hybrid MC24 1,5 za potrebe upravnih tijela Dubrovačko neretvanske županije.</w:t>
      </w:r>
    </w:p>
    <w:p w14:paraId="40C5052D" w14:textId="77777777" w:rsidR="000149DF" w:rsidRDefault="000149DF"/>
    <w:p w14:paraId="616461B1" w14:textId="77777777" w:rsidR="000149DF" w:rsidRDefault="00000000">
      <w:pPr>
        <w:keepNext/>
        <w:spacing w:line="240" w:lineRule="auto"/>
        <w:jc w:val="center"/>
      </w:pPr>
      <w:r>
        <w:rPr>
          <w:sz w:val="28"/>
        </w:rPr>
        <w:t>Bilješka 49.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983120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304B50A"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6A2367F"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8117543"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0CC5DFD"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B3E73CD"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5ED3E7E" w14:textId="77777777" w:rsidR="000149DF" w:rsidRDefault="00000000">
            <w:pPr>
              <w:keepNext/>
              <w:keepLines/>
              <w:spacing w:after="0" w:line="240" w:lineRule="auto"/>
              <w:jc w:val="center"/>
            </w:pPr>
            <w:r>
              <w:rPr>
                <w:b/>
                <w:sz w:val="18"/>
              </w:rPr>
              <w:t>Indeks (%)</w:t>
            </w:r>
          </w:p>
        </w:tc>
      </w:tr>
      <w:tr w:rsidR="000149DF" w14:paraId="29DE6452" w14:textId="77777777">
        <w:tblPrEx>
          <w:tblCellMar>
            <w:top w:w="0" w:type="dxa"/>
            <w:bottom w:w="0" w:type="dxa"/>
          </w:tblCellMar>
        </w:tblPrEx>
        <w:trPr>
          <w:cantSplit/>
          <w:trHeight w:val="560"/>
        </w:trPr>
        <w:tc>
          <w:tcPr>
            <w:tcW w:w="700" w:type="dxa"/>
            <w:tcMar>
              <w:top w:w="0" w:type="dxa"/>
              <w:bottom w:w="0" w:type="dxa"/>
            </w:tcMar>
            <w:vAlign w:val="center"/>
          </w:tcPr>
          <w:p w14:paraId="4457A7D4" w14:textId="77777777" w:rsidR="000149DF" w:rsidRDefault="00000000">
            <w:pPr>
              <w:keepNext/>
              <w:keepLines/>
              <w:spacing w:after="0" w:line="240" w:lineRule="auto"/>
            </w:pPr>
            <w:r>
              <w:rPr>
                <w:sz w:val="18"/>
              </w:rPr>
              <w:t>425</w:t>
            </w:r>
          </w:p>
        </w:tc>
        <w:tc>
          <w:tcPr>
            <w:tcW w:w="3180" w:type="dxa"/>
            <w:tcMar>
              <w:top w:w="0" w:type="dxa"/>
              <w:bottom w:w="0" w:type="dxa"/>
            </w:tcMar>
            <w:vAlign w:val="center"/>
          </w:tcPr>
          <w:p w14:paraId="71CE5192" w14:textId="77777777" w:rsidR="000149DF" w:rsidRDefault="00000000">
            <w:pPr>
              <w:keepNext/>
              <w:keepLines/>
              <w:spacing w:after="0" w:line="240" w:lineRule="auto"/>
            </w:pPr>
            <w:r>
              <w:rPr>
                <w:sz w:val="18"/>
              </w:rPr>
              <w:t>Višegodišnji nasadi i osnovno stado (šifre 4251+4252)</w:t>
            </w:r>
          </w:p>
        </w:tc>
        <w:tc>
          <w:tcPr>
            <w:tcW w:w="700" w:type="dxa"/>
            <w:tcMar>
              <w:top w:w="0" w:type="dxa"/>
              <w:bottom w:w="0" w:type="dxa"/>
            </w:tcMar>
            <w:vAlign w:val="center"/>
          </w:tcPr>
          <w:p w14:paraId="131C3AEA" w14:textId="77777777" w:rsidR="000149DF" w:rsidRDefault="00000000">
            <w:pPr>
              <w:keepNext/>
              <w:keepLines/>
              <w:spacing w:after="0" w:line="240" w:lineRule="auto"/>
            </w:pPr>
            <w:r>
              <w:rPr>
                <w:sz w:val="18"/>
              </w:rPr>
              <w:t>425</w:t>
            </w:r>
          </w:p>
        </w:tc>
        <w:tc>
          <w:tcPr>
            <w:tcW w:w="1860" w:type="dxa"/>
            <w:tcMar>
              <w:top w:w="0" w:type="dxa"/>
              <w:bottom w:w="0" w:type="dxa"/>
            </w:tcMar>
            <w:vAlign w:val="center"/>
          </w:tcPr>
          <w:p w14:paraId="3D0CD3A3" w14:textId="77777777" w:rsidR="000149DF" w:rsidRDefault="00000000">
            <w:pPr>
              <w:keepNext/>
              <w:keepLines/>
              <w:spacing w:after="0" w:line="240" w:lineRule="auto"/>
              <w:jc w:val="right"/>
            </w:pPr>
            <w:r>
              <w:rPr>
                <w:sz w:val="18"/>
              </w:rPr>
              <w:t>0,00</w:t>
            </w:r>
          </w:p>
        </w:tc>
        <w:tc>
          <w:tcPr>
            <w:tcW w:w="1860" w:type="dxa"/>
            <w:tcMar>
              <w:top w:w="0" w:type="dxa"/>
              <w:bottom w:w="0" w:type="dxa"/>
            </w:tcMar>
            <w:vAlign w:val="center"/>
          </w:tcPr>
          <w:p w14:paraId="301FE9A2" w14:textId="77777777" w:rsidR="000149DF" w:rsidRDefault="00000000">
            <w:pPr>
              <w:keepNext/>
              <w:keepLines/>
              <w:spacing w:after="0" w:line="240" w:lineRule="auto"/>
              <w:jc w:val="right"/>
            </w:pPr>
            <w:r>
              <w:rPr>
                <w:sz w:val="18"/>
              </w:rPr>
              <w:t>90.071,55</w:t>
            </w:r>
          </w:p>
        </w:tc>
        <w:tc>
          <w:tcPr>
            <w:tcW w:w="700" w:type="dxa"/>
            <w:tcMar>
              <w:top w:w="0" w:type="dxa"/>
              <w:bottom w:w="0" w:type="dxa"/>
            </w:tcMar>
            <w:vAlign w:val="center"/>
          </w:tcPr>
          <w:p w14:paraId="5352C863" w14:textId="77777777" w:rsidR="000149DF" w:rsidRDefault="00000000">
            <w:pPr>
              <w:keepNext/>
              <w:keepLines/>
              <w:spacing w:after="0" w:line="240" w:lineRule="auto"/>
              <w:jc w:val="right"/>
            </w:pPr>
            <w:r>
              <w:rPr>
                <w:sz w:val="18"/>
              </w:rPr>
              <w:t>-</w:t>
            </w:r>
          </w:p>
        </w:tc>
      </w:tr>
    </w:tbl>
    <w:p w14:paraId="53BB55E9" w14:textId="77777777" w:rsidR="000149DF" w:rsidRDefault="000149DF">
      <w:pPr>
        <w:spacing w:after="0"/>
      </w:pPr>
    </w:p>
    <w:p w14:paraId="54DBA75B" w14:textId="77777777" w:rsidR="000149DF" w:rsidRDefault="00000000">
      <w:r>
        <w:t>Iznos od 90.071,55 € odnosi se na ulaganja u višegodišnje nasade za ozelenjavanje javnih površina u Općini Dubrovačko Primorje i na uređenje okoliša oko Javne ustanove za upravljanje zaštićenim dijelovima prirode DNŽ.</w:t>
      </w:r>
    </w:p>
    <w:p w14:paraId="09B0347D" w14:textId="77777777" w:rsidR="000149DF" w:rsidRDefault="000149DF"/>
    <w:p w14:paraId="47DA5E80" w14:textId="77777777" w:rsidR="000149DF" w:rsidRDefault="00000000">
      <w:pPr>
        <w:keepNext/>
        <w:spacing w:line="240" w:lineRule="auto"/>
        <w:jc w:val="center"/>
      </w:pPr>
      <w:r>
        <w:rPr>
          <w:sz w:val="28"/>
        </w:rPr>
        <w:t>Bilješka 50.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0B70A4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F682C18"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A705527"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27FC176"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A2DB54B"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690C788"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B43523E" w14:textId="77777777" w:rsidR="000149DF" w:rsidRDefault="00000000">
            <w:pPr>
              <w:keepNext/>
              <w:keepLines/>
              <w:spacing w:after="0" w:line="240" w:lineRule="auto"/>
              <w:jc w:val="center"/>
            </w:pPr>
            <w:r>
              <w:rPr>
                <w:b/>
                <w:sz w:val="18"/>
              </w:rPr>
              <w:t>Indeks (%)</w:t>
            </w:r>
          </w:p>
        </w:tc>
      </w:tr>
      <w:tr w:rsidR="000149DF" w14:paraId="2DD7625B" w14:textId="77777777">
        <w:tblPrEx>
          <w:tblCellMar>
            <w:top w:w="0" w:type="dxa"/>
            <w:bottom w:w="0" w:type="dxa"/>
          </w:tblCellMar>
        </w:tblPrEx>
        <w:trPr>
          <w:cantSplit/>
          <w:trHeight w:val="560"/>
        </w:trPr>
        <w:tc>
          <w:tcPr>
            <w:tcW w:w="700" w:type="dxa"/>
            <w:tcMar>
              <w:top w:w="0" w:type="dxa"/>
              <w:bottom w:w="0" w:type="dxa"/>
            </w:tcMar>
            <w:vAlign w:val="center"/>
          </w:tcPr>
          <w:p w14:paraId="69136737" w14:textId="77777777" w:rsidR="000149DF" w:rsidRDefault="00000000">
            <w:pPr>
              <w:keepNext/>
              <w:keepLines/>
              <w:spacing w:after="0" w:line="240" w:lineRule="auto"/>
            </w:pPr>
            <w:r>
              <w:rPr>
                <w:sz w:val="18"/>
              </w:rPr>
              <w:t>4262</w:t>
            </w:r>
          </w:p>
        </w:tc>
        <w:tc>
          <w:tcPr>
            <w:tcW w:w="3180" w:type="dxa"/>
            <w:tcMar>
              <w:top w:w="0" w:type="dxa"/>
              <w:bottom w:w="0" w:type="dxa"/>
            </w:tcMar>
            <w:vAlign w:val="center"/>
          </w:tcPr>
          <w:p w14:paraId="286BA61D" w14:textId="77777777" w:rsidR="000149DF" w:rsidRDefault="00000000">
            <w:pPr>
              <w:keepNext/>
              <w:keepLines/>
              <w:spacing w:after="0" w:line="240" w:lineRule="auto"/>
            </w:pPr>
            <w:r>
              <w:rPr>
                <w:sz w:val="18"/>
              </w:rPr>
              <w:t>Ulaganja u računalne programe</w:t>
            </w:r>
          </w:p>
        </w:tc>
        <w:tc>
          <w:tcPr>
            <w:tcW w:w="700" w:type="dxa"/>
            <w:tcMar>
              <w:top w:w="0" w:type="dxa"/>
              <w:bottom w:w="0" w:type="dxa"/>
            </w:tcMar>
            <w:vAlign w:val="center"/>
          </w:tcPr>
          <w:p w14:paraId="44D0670C" w14:textId="77777777" w:rsidR="000149DF" w:rsidRDefault="00000000">
            <w:pPr>
              <w:keepNext/>
              <w:keepLines/>
              <w:spacing w:after="0" w:line="240" w:lineRule="auto"/>
            </w:pPr>
            <w:r>
              <w:rPr>
                <w:sz w:val="18"/>
              </w:rPr>
              <w:t>4262</w:t>
            </w:r>
          </w:p>
        </w:tc>
        <w:tc>
          <w:tcPr>
            <w:tcW w:w="1860" w:type="dxa"/>
            <w:tcMar>
              <w:top w:w="0" w:type="dxa"/>
              <w:bottom w:w="0" w:type="dxa"/>
            </w:tcMar>
            <w:vAlign w:val="center"/>
          </w:tcPr>
          <w:p w14:paraId="0A0E2043" w14:textId="77777777" w:rsidR="000149DF" w:rsidRDefault="00000000">
            <w:pPr>
              <w:keepNext/>
              <w:keepLines/>
              <w:spacing w:after="0" w:line="240" w:lineRule="auto"/>
              <w:jc w:val="right"/>
            </w:pPr>
            <w:r>
              <w:rPr>
                <w:sz w:val="18"/>
              </w:rPr>
              <w:t>13.195,14</w:t>
            </w:r>
          </w:p>
        </w:tc>
        <w:tc>
          <w:tcPr>
            <w:tcW w:w="1860" w:type="dxa"/>
            <w:tcMar>
              <w:top w:w="0" w:type="dxa"/>
              <w:bottom w:w="0" w:type="dxa"/>
            </w:tcMar>
            <w:vAlign w:val="center"/>
          </w:tcPr>
          <w:p w14:paraId="5AF86934" w14:textId="77777777" w:rsidR="000149DF" w:rsidRDefault="00000000">
            <w:pPr>
              <w:keepNext/>
              <w:keepLines/>
              <w:spacing w:after="0" w:line="240" w:lineRule="auto"/>
              <w:jc w:val="right"/>
            </w:pPr>
            <w:r>
              <w:rPr>
                <w:sz w:val="18"/>
              </w:rPr>
              <w:t>398,00</w:t>
            </w:r>
          </w:p>
        </w:tc>
        <w:tc>
          <w:tcPr>
            <w:tcW w:w="700" w:type="dxa"/>
            <w:tcMar>
              <w:top w:w="0" w:type="dxa"/>
              <w:bottom w:w="0" w:type="dxa"/>
            </w:tcMar>
            <w:vAlign w:val="center"/>
          </w:tcPr>
          <w:p w14:paraId="06E8D8F2" w14:textId="77777777" w:rsidR="000149DF" w:rsidRDefault="00000000">
            <w:pPr>
              <w:keepNext/>
              <w:keepLines/>
              <w:spacing w:after="0" w:line="240" w:lineRule="auto"/>
              <w:jc w:val="right"/>
            </w:pPr>
            <w:r>
              <w:rPr>
                <w:sz w:val="18"/>
              </w:rPr>
              <w:t>3,0</w:t>
            </w:r>
          </w:p>
        </w:tc>
      </w:tr>
    </w:tbl>
    <w:p w14:paraId="3AE4F781" w14:textId="77777777" w:rsidR="000149DF" w:rsidRDefault="000149DF">
      <w:pPr>
        <w:spacing w:after="0"/>
      </w:pPr>
    </w:p>
    <w:p w14:paraId="7CF7DD69" w14:textId="77777777" w:rsidR="000149DF" w:rsidRDefault="00000000">
      <w:r>
        <w:t>U 2024. godini imali smo ulaganje u računalni program u iznosu od 13.195,14 € za ugradnju mjerača vodljivosti crpne stanice javnog sustava navodnjavanja Glog, a tih troškova u 2025. godini nije bilo.</w:t>
      </w:r>
    </w:p>
    <w:p w14:paraId="4BF60546" w14:textId="77777777" w:rsidR="000149DF" w:rsidRDefault="000149DF"/>
    <w:p w14:paraId="38351949" w14:textId="77777777" w:rsidR="000149DF" w:rsidRDefault="00000000">
      <w:pPr>
        <w:keepNext/>
        <w:spacing w:line="240" w:lineRule="auto"/>
        <w:jc w:val="center"/>
      </w:pPr>
      <w:r>
        <w:rPr>
          <w:sz w:val="28"/>
        </w:rPr>
        <w:lastRenderedPageBreak/>
        <w:t>Bilješka 51.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8FAAD7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817CA9A"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3C461EA"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FED4465"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C65B03B"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426A398"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95EE818" w14:textId="77777777" w:rsidR="000149DF" w:rsidRDefault="00000000">
            <w:pPr>
              <w:keepNext/>
              <w:keepLines/>
              <w:spacing w:after="0" w:line="240" w:lineRule="auto"/>
              <w:jc w:val="center"/>
            </w:pPr>
            <w:r>
              <w:rPr>
                <w:b/>
                <w:sz w:val="18"/>
              </w:rPr>
              <w:t>Indeks (%)</w:t>
            </w:r>
          </w:p>
        </w:tc>
      </w:tr>
      <w:tr w:rsidR="000149DF" w14:paraId="33B0CF6D" w14:textId="77777777">
        <w:tblPrEx>
          <w:tblCellMar>
            <w:top w:w="0" w:type="dxa"/>
            <w:bottom w:w="0" w:type="dxa"/>
          </w:tblCellMar>
        </w:tblPrEx>
        <w:trPr>
          <w:cantSplit/>
          <w:trHeight w:val="560"/>
        </w:trPr>
        <w:tc>
          <w:tcPr>
            <w:tcW w:w="700" w:type="dxa"/>
            <w:tcMar>
              <w:top w:w="0" w:type="dxa"/>
              <w:bottom w:w="0" w:type="dxa"/>
            </w:tcMar>
            <w:vAlign w:val="center"/>
          </w:tcPr>
          <w:p w14:paraId="73DCC840" w14:textId="77777777" w:rsidR="000149DF" w:rsidRDefault="00000000">
            <w:pPr>
              <w:keepNext/>
              <w:keepLines/>
              <w:spacing w:after="0" w:line="240" w:lineRule="auto"/>
            </w:pPr>
            <w:r>
              <w:rPr>
                <w:sz w:val="18"/>
              </w:rPr>
              <w:t>4263</w:t>
            </w:r>
          </w:p>
        </w:tc>
        <w:tc>
          <w:tcPr>
            <w:tcW w:w="3180" w:type="dxa"/>
            <w:tcMar>
              <w:top w:w="0" w:type="dxa"/>
              <w:bottom w:w="0" w:type="dxa"/>
            </w:tcMar>
            <w:vAlign w:val="center"/>
          </w:tcPr>
          <w:p w14:paraId="77FB3748" w14:textId="77777777" w:rsidR="000149DF" w:rsidRDefault="00000000">
            <w:pPr>
              <w:keepNext/>
              <w:keepLines/>
              <w:spacing w:after="0" w:line="240" w:lineRule="auto"/>
            </w:pPr>
            <w:r>
              <w:rPr>
                <w:sz w:val="18"/>
              </w:rPr>
              <w:t>Umjetnička, literarna i znanstvena djela</w:t>
            </w:r>
          </w:p>
        </w:tc>
        <w:tc>
          <w:tcPr>
            <w:tcW w:w="700" w:type="dxa"/>
            <w:tcMar>
              <w:top w:w="0" w:type="dxa"/>
              <w:bottom w:w="0" w:type="dxa"/>
            </w:tcMar>
            <w:vAlign w:val="center"/>
          </w:tcPr>
          <w:p w14:paraId="7B84C50E" w14:textId="77777777" w:rsidR="000149DF" w:rsidRDefault="00000000">
            <w:pPr>
              <w:keepNext/>
              <w:keepLines/>
              <w:spacing w:after="0" w:line="240" w:lineRule="auto"/>
            </w:pPr>
            <w:r>
              <w:rPr>
                <w:sz w:val="18"/>
              </w:rPr>
              <w:t>4263</w:t>
            </w:r>
          </w:p>
        </w:tc>
        <w:tc>
          <w:tcPr>
            <w:tcW w:w="1860" w:type="dxa"/>
            <w:tcMar>
              <w:top w:w="0" w:type="dxa"/>
              <w:bottom w:w="0" w:type="dxa"/>
            </w:tcMar>
            <w:vAlign w:val="center"/>
          </w:tcPr>
          <w:p w14:paraId="2F88ACB0" w14:textId="77777777" w:rsidR="000149DF" w:rsidRDefault="00000000">
            <w:pPr>
              <w:keepNext/>
              <w:keepLines/>
              <w:spacing w:after="0" w:line="240" w:lineRule="auto"/>
              <w:jc w:val="right"/>
            </w:pPr>
            <w:r>
              <w:rPr>
                <w:sz w:val="18"/>
              </w:rPr>
              <w:t>29.012,50</w:t>
            </w:r>
          </w:p>
        </w:tc>
        <w:tc>
          <w:tcPr>
            <w:tcW w:w="1860" w:type="dxa"/>
            <w:tcMar>
              <w:top w:w="0" w:type="dxa"/>
              <w:bottom w:w="0" w:type="dxa"/>
            </w:tcMar>
            <w:vAlign w:val="center"/>
          </w:tcPr>
          <w:p w14:paraId="2955A67E" w14:textId="77777777" w:rsidR="000149DF" w:rsidRDefault="00000000">
            <w:pPr>
              <w:keepNext/>
              <w:keepLines/>
              <w:spacing w:after="0" w:line="240" w:lineRule="auto"/>
              <w:jc w:val="right"/>
            </w:pPr>
            <w:r>
              <w:rPr>
                <w:sz w:val="18"/>
              </w:rPr>
              <w:t>3.412,50</w:t>
            </w:r>
          </w:p>
        </w:tc>
        <w:tc>
          <w:tcPr>
            <w:tcW w:w="700" w:type="dxa"/>
            <w:tcMar>
              <w:top w:w="0" w:type="dxa"/>
              <w:bottom w:w="0" w:type="dxa"/>
            </w:tcMar>
            <w:vAlign w:val="center"/>
          </w:tcPr>
          <w:p w14:paraId="55E0FF59" w14:textId="77777777" w:rsidR="000149DF" w:rsidRDefault="00000000">
            <w:pPr>
              <w:keepNext/>
              <w:keepLines/>
              <w:spacing w:after="0" w:line="240" w:lineRule="auto"/>
              <w:jc w:val="right"/>
            </w:pPr>
            <w:r>
              <w:rPr>
                <w:sz w:val="18"/>
              </w:rPr>
              <w:t>11,8</w:t>
            </w:r>
          </w:p>
        </w:tc>
      </w:tr>
    </w:tbl>
    <w:p w14:paraId="21125720" w14:textId="77777777" w:rsidR="000149DF" w:rsidRDefault="000149DF">
      <w:pPr>
        <w:spacing w:after="0"/>
      </w:pPr>
    </w:p>
    <w:p w14:paraId="57A527E3" w14:textId="77777777" w:rsidR="000149DF" w:rsidRDefault="00000000">
      <w:r>
        <w:t>U 2024 godini imali smo ulaganja u izradu strateške studije procjene utjecaj izmjena PP na okoliš u iznosu od 9.675,00 € i izradu strateške studije utjecaja na okoliš u iznosu od 19.337,50 €. U 2025. godini ulaganje u stratešku studiju utjecaja na okoliš bilo je 3.412,50 €.</w:t>
      </w:r>
    </w:p>
    <w:p w14:paraId="75F81151" w14:textId="77777777" w:rsidR="000149DF" w:rsidRDefault="000149DF"/>
    <w:p w14:paraId="48BD592B" w14:textId="77777777" w:rsidR="000149DF" w:rsidRDefault="00000000">
      <w:pPr>
        <w:keepNext/>
        <w:spacing w:line="240" w:lineRule="auto"/>
        <w:jc w:val="center"/>
      </w:pPr>
      <w:r>
        <w:rPr>
          <w:b/>
          <w:sz w:val="28"/>
        </w:rPr>
        <w:t>Bilanca</w:t>
      </w:r>
    </w:p>
    <w:p w14:paraId="2312B37E" w14:textId="77777777" w:rsidR="000149DF" w:rsidRDefault="00000000">
      <w:pPr>
        <w:keepNext/>
        <w:spacing w:line="240" w:lineRule="auto"/>
        <w:jc w:val="center"/>
      </w:pPr>
      <w:r>
        <w:rPr>
          <w:sz w:val="28"/>
        </w:rPr>
        <w:t>Bilješka 52.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489538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F7CBFB1"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FD2B7C1"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1E02169"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E6E78C3"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F1B8C7B"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EE93B00" w14:textId="77777777" w:rsidR="000149DF" w:rsidRDefault="00000000">
            <w:pPr>
              <w:keepNext/>
              <w:keepLines/>
              <w:spacing w:after="0" w:line="240" w:lineRule="auto"/>
              <w:jc w:val="center"/>
            </w:pPr>
            <w:r>
              <w:rPr>
                <w:b/>
                <w:sz w:val="18"/>
              </w:rPr>
              <w:t>Indeks (%)</w:t>
            </w:r>
          </w:p>
        </w:tc>
      </w:tr>
      <w:tr w:rsidR="000149DF" w14:paraId="2081E925" w14:textId="77777777">
        <w:tblPrEx>
          <w:tblCellMar>
            <w:top w:w="0" w:type="dxa"/>
            <w:bottom w:w="0" w:type="dxa"/>
          </w:tblCellMar>
        </w:tblPrEx>
        <w:trPr>
          <w:cantSplit/>
          <w:trHeight w:val="560"/>
        </w:trPr>
        <w:tc>
          <w:tcPr>
            <w:tcW w:w="700" w:type="dxa"/>
            <w:tcMar>
              <w:top w:w="0" w:type="dxa"/>
              <w:bottom w:w="0" w:type="dxa"/>
            </w:tcMar>
            <w:vAlign w:val="center"/>
          </w:tcPr>
          <w:p w14:paraId="73573F48" w14:textId="77777777" w:rsidR="000149DF" w:rsidRDefault="00000000">
            <w:pPr>
              <w:keepNext/>
              <w:keepLines/>
              <w:spacing w:after="0" w:line="240" w:lineRule="auto"/>
            </w:pPr>
            <w:r>
              <w:rPr>
                <w:sz w:val="18"/>
              </w:rPr>
              <w:t>012</w:t>
            </w:r>
          </w:p>
        </w:tc>
        <w:tc>
          <w:tcPr>
            <w:tcW w:w="3180" w:type="dxa"/>
            <w:tcMar>
              <w:top w:w="0" w:type="dxa"/>
              <w:bottom w:w="0" w:type="dxa"/>
            </w:tcMar>
            <w:vAlign w:val="center"/>
          </w:tcPr>
          <w:p w14:paraId="75239F0B" w14:textId="77777777" w:rsidR="000149DF" w:rsidRDefault="00000000">
            <w:pPr>
              <w:keepNext/>
              <w:keepLines/>
              <w:spacing w:after="0" w:line="240" w:lineRule="auto"/>
            </w:pPr>
            <w:r>
              <w:rPr>
                <w:sz w:val="18"/>
              </w:rPr>
              <w:t>Nematerijalna imovina</w:t>
            </w:r>
          </w:p>
        </w:tc>
        <w:tc>
          <w:tcPr>
            <w:tcW w:w="700" w:type="dxa"/>
            <w:tcMar>
              <w:top w:w="0" w:type="dxa"/>
              <w:bottom w:w="0" w:type="dxa"/>
            </w:tcMar>
            <w:vAlign w:val="center"/>
          </w:tcPr>
          <w:p w14:paraId="72996CCB" w14:textId="77777777" w:rsidR="000149DF" w:rsidRDefault="00000000">
            <w:pPr>
              <w:keepNext/>
              <w:keepLines/>
              <w:spacing w:after="0" w:line="240" w:lineRule="auto"/>
            </w:pPr>
            <w:r>
              <w:rPr>
                <w:sz w:val="18"/>
              </w:rPr>
              <w:t>012</w:t>
            </w:r>
          </w:p>
        </w:tc>
        <w:tc>
          <w:tcPr>
            <w:tcW w:w="1860" w:type="dxa"/>
            <w:tcMar>
              <w:top w:w="0" w:type="dxa"/>
              <w:bottom w:w="0" w:type="dxa"/>
            </w:tcMar>
            <w:vAlign w:val="center"/>
          </w:tcPr>
          <w:p w14:paraId="02EF9512" w14:textId="77777777" w:rsidR="000149DF" w:rsidRDefault="00000000">
            <w:pPr>
              <w:keepNext/>
              <w:keepLines/>
              <w:spacing w:after="0" w:line="240" w:lineRule="auto"/>
              <w:jc w:val="right"/>
            </w:pPr>
            <w:r>
              <w:rPr>
                <w:sz w:val="18"/>
              </w:rPr>
              <w:t>3.631.917,01</w:t>
            </w:r>
          </w:p>
        </w:tc>
        <w:tc>
          <w:tcPr>
            <w:tcW w:w="1860" w:type="dxa"/>
            <w:tcMar>
              <w:top w:w="0" w:type="dxa"/>
              <w:bottom w:w="0" w:type="dxa"/>
            </w:tcMar>
            <w:vAlign w:val="center"/>
          </w:tcPr>
          <w:p w14:paraId="3C36879D" w14:textId="77777777" w:rsidR="000149DF" w:rsidRDefault="00000000">
            <w:pPr>
              <w:keepNext/>
              <w:keepLines/>
              <w:spacing w:after="0" w:line="240" w:lineRule="auto"/>
              <w:jc w:val="right"/>
            </w:pPr>
            <w:r>
              <w:rPr>
                <w:sz w:val="18"/>
              </w:rPr>
              <w:t>4.049.092,91</w:t>
            </w:r>
          </w:p>
        </w:tc>
        <w:tc>
          <w:tcPr>
            <w:tcW w:w="700" w:type="dxa"/>
            <w:tcMar>
              <w:top w:w="0" w:type="dxa"/>
              <w:bottom w:w="0" w:type="dxa"/>
            </w:tcMar>
            <w:vAlign w:val="center"/>
          </w:tcPr>
          <w:p w14:paraId="12FD7519" w14:textId="77777777" w:rsidR="000149DF" w:rsidRDefault="00000000">
            <w:pPr>
              <w:keepNext/>
              <w:keepLines/>
              <w:spacing w:after="0" w:line="240" w:lineRule="auto"/>
              <w:jc w:val="right"/>
            </w:pPr>
            <w:r>
              <w:rPr>
                <w:sz w:val="18"/>
              </w:rPr>
              <w:t>111,5</w:t>
            </w:r>
          </w:p>
        </w:tc>
      </w:tr>
    </w:tbl>
    <w:p w14:paraId="32D9F899" w14:textId="77777777" w:rsidR="000149DF" w:rsidRDefault="000149DF">
      <w:pPr>
        <w:spacing w:after="0"/>
      </w:pPr>
    </w:p>
    <w:p w14:paraId="6F22DC59" w14:textId="77777777" w:rsidR="000149DF" w:rsidRDefault="00000000">
      <w:r>
        <w:t>Povećanje na nematerijanom imovini u odnosu na stanje od 1. siječnja odnosi se na prijenos imovine iz pripreme u upotrebu za projekt Depo lijekova Mljet u iznosu od 110.123,89 € i za projekt Regionalni centar kompetentnosti u turizmu i ugostiteljstvu Dubrovnik u iznosu od 237.145,74 €. Iznos od 69.906,27  € odnosi se na pravo služnosti za projekt navodnjavanja Koševo Vrbovci.</w:t>
      </w:r>
    </w:p>
    <w:p w14:paraId="276C2936" w14:textId="77777777" w:rsidR="000149DF" w:rsidRDefault="000149DF"/>
    <w:p w14:paraId="7B75BF3A" w14:textId="77777777" w:rsidR="000149DF" w:rsidRDefault="00000000">
      <w:pPr>
        <w:keepNext/>
        <w:spacing w:line="240" w:lineRule="auto"/>
        <w:jc w:val="center"/>
      </w:pPr>
      <w:r>
        <w:rPr>
          <w:sz w:val="28"/>
        </w:rPr>
        <w:t>Bilješka 53.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0EE513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F360044"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5B515A3"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F0BB51B"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F2F8AB3"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DE8D036"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1788A9FF" w14:textId="77777777" w:rsidR="000149DF" w:rsidRDefault="00000000">
            <w:pPr>
              <w:keepNext/>
              <w:keepLines/>
              <w:spacing w:after="0" w:line="240" w:lineRule="auto"/>
              <w:jc w:val="center"/>
            </w:pPr>
            <w:r>
              <w:rPr>
                <w:b/>
                <w:sz w:val="18"/>
              </w:rPr>
              <w:t>Indeks (%)</w:t>
            </w:r>
          </w:p>
        </w:tc>
      </w:tr>
      <w:tr w:rsidR="000149DF" w14:paraId="16711B91" w14:textId="77777777">
        <w:tblPrEx>
          <w:tblCellMar>
            <w:top w:w="0" w:type="dxa"/>
            <w:bottom w:w="0" w:type="dxa"/>
          </w:tblCellMar>
        </w:tblPrEx>
        <w:trPr>
          <w:cantSplit/>
          <w:trHeight w:val="560"/>
        </w:trPr>
        <w:tc>
          <w:tcPr>
            <w:tcW w:w="700" w:type="dxa"/>
            <w:tcMar>
              <w:top w:w="0" w:type="dxa"/>
              <w:bottom w:w="0" w:type="dxa"/>
            </w:tcMar>
            <w:vAlign w:val="center"/>
          </w:tcPr>
          <w:p w14:paraId="01AE5997" w14:textId="77777777" w:rsidR="000149DF" w:rsidRDefault="00000000">
            <w:pPr>
              <w:keepNext/>
              <w:keepLines/>
              <w:spacing w:after="0" w:line="240" w:lineRule="auto"/>
            </w:pPr>
            <w:r>
              <w:rPr>
                <w:sz w:val="18"/>
              </w:rPr>
              <w:t>0212</w:t>
            </w:r>
          </w:p>
        </w:tc>
        <w:tc>
          <w:tcPr>
            <w:tcW w:w="3180" w:type="dxa"/>
            <w:tcMar>
              <w:top w:w="0" w:type="dxa"/>
              <w:bottom w:w="0" w:type="dxa"/>
            </w:tcMar>
            <w:vAlign w:val="center"/>
          </w:tcPr>
          <w:p w14:paraId="18AFA8BC" w14:textId="77777777" w:rsidR="000149DF" w:rsidRDefault="00000000">
            <w:pPr>
              <w:keepNext/>
              <w:keepLines/>
              <w:spacing w:after="0" w:line="240" w:lineRule="auto"/>
            </w:pPr>
            <w:r>
              <w:rPr>
                <w:sz w:val="18"/>
              </w:rPr>
              <w:t>Poslovni objekti</w:t>
            </w:r>
          </w:p>
        </w:tc>
        <w:tc>
          <w:tcPr>
            <w:tcW w:w="700" w:type="dxa"/>
            <w:tcMar>
              <w:top w:w="0" w:type="dxa"/>
              <w:bottom w:w="0" w:type="dxa"/>
            </w:tcMar>
            <w:vAlign w:val="center"/>
          </w:tcPr>
          <w:p w14:paraId="25E8F497" w14:textId="77777777" w:rsidR="000149DF" w:rsidRDefault="00000000">
            <w:pPr>
              <w:keepNext/>
              <w:keepLines/>
              <w:spacing w:after="0" w:line="240" w:lineRule="auto"/>
            </w:pPr>
            <w:r>
              <w:rPr>
                <w:sz w:val="18"/>
              </w:rPr>
              <w:t>0212</w:t>
            </w:r>
          </w:p>
        </w:tc>
        <w:tc>
          <w:tcPr>
            <w:tcW w:w="1860" w:type="dxa"/>
            <w:tcMar>
              <w:top w:w="0" w:type="dxa"/>
              <w:bottom w:w="0" w:type="dxa"/>
            </w:tcMar>
            <w:vAlign w:val="center"/>
          </w:tcPr>
          <w:p w14:paraId="74FC097D" w14:textId="77777777" w:rsidR="000149DF" w:rsidRDefault="00000000">
            <w:pPr>
              <w:keepNext/>
              <w:keepLines/>
              <w:spacing w:after="0" w:line="240" w:lineRule="auto"/>
              <w:jc w:val="right"/>
            </w:pPr>
            <w:r>
              <w:rPr>
                <w:sz w:val="18"/>
              </w:rPr>
              <w:t>13.166.833,60</w:t>
            </w:r>
          </w:p>
        </w:tc>
        <w:tc>
          <w:tcPr>
            <w:tcW w:w="1860" w:type="dxa"/>
            <w:tcMar>
              <w:top w:w="0" w:type="dxa"/>
              <w:bottom w:w="0" w:type="dxa"/>
            </w:tcMar>
            <w:vAlign w:val="center"/>
          </w:tcPr>
          <w:p w14:paraId="0404E8F0" w14:textId="77777777" w:rsidR="000149DF" w:rsidRDefault="00000000">
            <w:pPr>
              <w:keepNext/>
              <w:keepLines/>
              <w:spacing w:after="0" w:line="240" w:lineRule="auto"/>
              <w:jc w:val="right"/>
            </w:pPr>
            <w:r>
              <w:rPr>
                <w:sz w:val="18"/>
              </w:rPr>
              <w:t>13.708.610,70</w:t>
            </w:r>
          </w:p>
        </w:tc>
        <w:tc>
          <w:tcPr>
            <w:tcW w:w="700" w:type="dxa"/>
            <w:tcMar>
              <w:top w:w="0" w:type="dxa"/>
              <w:bottom w:w="0" w:type="dxa"/>
            </w:tcMar>
            <w:vAlign w:val="center"/>
          </w:tcPr>
          <w:p w14:paraId="4B6901A6" w14:textId="77777777" w:rsidR="000149DF" w:rsidRDefault="00000000">
            <w:pPr>
              <w:keepNext/>
              <w:keepLines/>
              <w:spacing w:after="0" w:line="240" w:lineRule="auto"/>
              <w:jc w:val="right"/>
            </w:pPr>
            <w:r>
              <w:rPr>
                <w:sz w:val="18"/>
              </w:rPr>
              <w:t>104,1</w:t>
            </w:r>
          </w:p>
        </w:tc>
      </w:tr>
    </w:tbl>
    <w:p w14:paraId="0C3B507D" w14:textId="77777777" w:rsidR="000149DF" w:rsidRDefault="000149DF">
      <w:pPr>
        <w:spacing w:after="0"/>
      </w:pPr>
    </w:p>
    <w:p w14:paraId="5A8B7179" w14:textId="77777777" w:rsidR="000149DF" w:rsidRDefault="00000000">
      <w:r>
        <w:t>Povećanje na poslovnim objektima odnosi se na prijenos imovine iz pripreme u upotrebu za projekt Energetske obnove Doma za starije Korčula u iznosu od 413.700,03 € i za rekonstrukciju Područne škole Prud u iznosu od 128.077,07 €.</w:t>
      </w:r>
    </w:p>
    <w:p w14:paraId="328D134A" w14:textId="77777777" w:rsidR="000149DF" w:rsidRDefault="000149DF"/>
    <w:p w14:paraId="6929B9AC" w14:textId="77777777" w:rsidR="000149DF" w:rsidRDefault="00000000">
      <w:pPr>
        <w:keepNext/>
        <w:spacing w:line="240" w:lineRule="auto"/>
        <w:jc w:val="center"/>
      </w:pPr>
      <w:r>
        <w:rPr>
          <w:sz w:val="28"/>
        </w:rPr>
        <w:t>Bilješka 54.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5101FA9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0C4F9BE"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FADA3F9"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37858E7"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AF78C45"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25CCF5E8"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430279A8" w14:textId="77777777" w:rsidR="000149DF" w:rsidRDefault="00000000">
            <w:pPr>
              <w:keepNext/>
              <w:keepLines/>
              <w:spacing w:after="0" w:line="240" w:lineRule="auto"/>
              <w:jc w:val="center"/>
            </w:pPr>
            <w:r>
              <w:rPr>
                <w:b/>
                <w:sz w:val="18"/>
              </w:rPr>
              <w:t>Indeks (%)</w:t>
            </w:r>
          </w:p>
        </w:tc>
      </w:tr>
      <w:tr w:rsidR="000149DF" w14:paraId="464C0BE0" w14:textId="77777777">
        <w:tblPrEx>
          <w:tblCellMar>
            <w:top w:w="0" w:type="dxa"/>
            <w:bottom w:w="0" w:type="dxa"/>
          </w:tblCellMar>
        </w:tblPrEx>
        <w:trPr>
          <w:cantSplit/>
          <w:trHeight w:val="560"/>
        </w:trPr>
        <w:tc>
          <w:tcPr>
            <w:tcW w:w="700" w:type="dxa"/>
            <w:tcMar>
              <w:top w:w="0" w:type="dxa"/>
              <w:bottom w:w="0" w:type="dxa"/>
            </w:tcMar>
            <w:vAlign w:val="center"/>
          </w:tcPr>
          <w:p w14:paraId="53F78DE2" w14:textId="77777777" w:rsidR="000149DF" w:rsidRDefault="00000000">
            <w:pPr>
              <w:keepNext/>
              <w:keepLines/>
              <w:spacing w:after="0" w:line="240" w:lineRule="auto"/>
            </w:pPr>
            <w:r>
              <w:rPr>
                <w:sz w:val="18"/>
              </w:rPr>
              <w:t>0214</w:t>
            </w:r>
          </w:p>
        </w:tc>
        <w:tc>
          <w:tcPr>
            <w:tcW w:w="3180" w:type="dxa"/>
            <w:tcMar>
              <w:top w:w="0" w:type="dxa"/>
              <w:bottom w:w="0" w:type="dxa"/>
            </w:tcMar>
            <w:vAlign w:val="center"/>
          </w:tcPr>
          <w:p w14:paraId="5B0AE9D2" w14:textId="77777777" w:rsidR="000149DF" w:rsidRDefault="00000000">
            <w:pPr>
              <w:keepNext/>
              <w:keepLines/>
              <w:spacing w:after="0" w:line="240" w:lineRule="auto"/>
            </w:pPr>
            <w:r>
              <w:rPr>
                <w:sz w:val="18"/>
              </w:rPr>
              <w:t>Ostali građevinski objekti</w:t>
            </w:r>
          </w:p>
        </w:tc>
        <w:tc>
          <w:tcPr>
            <w:tcW w:w="700" w:type="dxa"/>
            <w:tcMar>
              <w:top w:w="0" w:type="dxa"/>
              <w:bottom w:w="0" w:type="dxa"/>
            </w:tcMar>
            <w:vAlign w:val="center"/>
          </w:tcPr>
          <w:p w14:paraId="4CB90B82" w14:textId="77777777" w:rsidR="000149DF" w:rsidRDefault="00000000">
            <w:pPr>
              <w:keepNext/>
              <w:keepLines/>
              <w:spacing w:after="0" w:line="240" w:lineRule="auto"/>
            </w:pPr>
            <w:r>
              <w:rPr>
                <w:sz w:val="18"/>
              </w:rPr>
              <w:t>0214</w:t>
            </w:r>
          </w:p>
        </w:tc>
        <w:tc>
          <w:tcPr>
            <w:tcW w:w="1860" w:type="dxa"/>
            <w:tcMar>
              <w:top w:w="0" w:type="dxa"/>
              <w:bottom w:w="0" w:type="dxa"/>
            </w:tcMar>
            <w:vAlign w:val="center"/>
          </w:tcPr>
          <w:p w14:paraId="71FB5B7B" w14:textId="77777777" w:rsidR="000149DF" w:rsidRDefault="00000000">
            <w:pPr>
              <w:keepNext/>
              <w:keepLines/>
              <w:spacing w:after="0" w:line="240" w:lineRule="auto"/>
              <w:jc w:val="right"/>
            </w:pPr>
            <w:r>
              <w:rPr>
                <w:sz w:val="18"/>
              </w:rPr>
              <w:t>3.387.530,48</w:t>
            </w:r>
          </w:p>
        </w:tc>
        <w:tc>
          <w:tcPr>
            <w:tcW w:w="1860" w:type="dxa"/>
            <w:tcMar>
              <w:top w:w="0" w:type="dxa"/>
              <w:bottom w:w="0" w:type="dxa"/>
            </w:tcMar>
            <w:vAlign w:val="center"/>
          </w:tcPr>
          <w:p w14:paraId="52F1750B" w14:textId="77777777" w:rsidR="000149DF" w:rsidRDefault="00000000">
            <w:pPr>
              <w:keepNext/>
              <w:keepLines/>
              <w:spacing w:after="0" w:line="240" w:lineRule="auto"/>
              <w:jc w:val="right"/>
            </w:pPr>
            <w:r>
              <w:rPr>
                <w:sz w:val="18"/>
              </w:rPr>
              <w:t>3.720.165,07</w:t>
            </w:r>
          </w:p>
        </w:tc>
        <w:tc>
          <w:tcPr>
            <w:tcW w:w="700" w:type="dxa"/>
            <w:tcMar>
              <w:top w:w="0" w:type="dxa"/>
              <w:bottom w:w="0" w:type="dxa"/>
            </w:tcMar>
            <w:vAlign w:val="center"/>
          </w:tcPr>
          <w:p w14:paraId="14240E7A" w14:textId="77777777" w:rsidR="000149DF" w:rsidRDefault="00000000">
            <w:pPr>
              <w:keepNext/>
              <w:keepLines/>
              <w:spacing w:after="0" w:line="240" w:lineRule="auto"/>
              <w:jc w:val="right"/>
            </w:pPr>
            <w:r>
              <w:rPr>
                <w:sz w:val="18"/>
              </w:rPr>
              <w:t>109,8</w:t>
            </w:r>
          </w:p>
        </w:tc>
      </w:tr>
    </w:tbl>
    <w:p w14:paraId="6E707AFF" w14:textId="77777777" w:rsidR="000149DF" w:rsidRDefault="000149DF">
      <w:pPr>
        <w:spacing w:after="0"/>
      </w:pPr>
    </w:p>
    <w:p w14:paraId="6C2B74AE" w14:textId="77777777" w:rsidR="000149DF" w:rsidRDefault="00000000">
      <w:r>
        <w:lastRenderedPageBreak/>
        <w:t>Povećanje na Ostalim građevinskim objektima odnosi se na prijenos imovine iz pripreme u upotrebu u iznosu pd 332.634,59 € za radove uređenja okoliša oko Javne ustanove za upravljanje zaštićenim dijelovima prirode DNŽ.</w:t>
      </w:r>
    </w:p>
    <w:p w14:paraId="5A2834B7" w14:textId="77777777" w:rsidR="000149DF" w:rsidRDefault="000149DF"/>
    <w:p w14:paraId="537B33E9" w14:textId="77777777" w:rsidR="000149DF" w:rsidRDefault="00000000">
      <w:pPr>
        <w:keepNext/>
        <w:spacing w:line="240" w:lineRule="auto"/>
        <w:jc w:val="center"/>
      </w:pPr>
      <w:r>
        <w:rPr>
          <w:sz w:val="28"/>
        </w:rPr>
        <w:t>Bilješka 55.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7F06A4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8834CE8"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02A4344"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0633929"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99488E0"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253CEF1"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4436DE06" w14:textId="77777777" w:rsidR="000149DF" w:rsidRDefault="00000000">
            <w:pPr>
              <w:keepNext/>
              <w:keepLines/>
              <w:spacing w:after="0" w:line="240" w:lineRule="auto"/>
              <w:jc w:val="center"/>
            </w:pPr>
            <w:r>
              <w:rPr>
                <w:b/>
                <w:sz w:val="18"/>
              </w:rPr>
              <w:t>Indeks (%)</w:t>
            </w:r>
          </w:p>
        </w:tc>
      </w:tr>
      <w:tr w:rsidR="000149DF" w14:paraId="36219795" w14:textId="77777777">
        <w:tblPrEx>
          <w:tblCellMar>
            <w:top w:w="0" w:type="dxa"/>
            <w:bottom w:w="0" w:type="dxa"/>
          </w:tblCellMar>
        </w:tblPrEx>
        <w:trPr>
          <w:cantSplit/>
          <w:trHeight w:val="560"/>
        </w:trPr>
        <w:tc>
          <w:tcPr>
            <w:tcW w:w="700" w:type="dxa"/>
            <w:tcMar>
              <w:top w:w="0" w:type="dxa"/>
              <w:bottom w:w="0" w:type="dxa"/>
            </w:tcMar>
            <w:vAlign w:val="center"/>
          </w:tcPr>
          <w:p w14:paraId="2D2A781E" w14:textId="77777777" w:rsidR="000149DF" w:rsidRDefault="00000000">
            <w:pPr>
              <w:keepNext/>
              <w:keepLines/>
              <w:spacing w:after="0" w:line="240" w:lineRule="auto"/>
            </w:pPr>
            <w:r>
              <w:rPr>
                <w:sz w:val="18"/>
              </w:rPr>
              <w:t>0221</w:t>
            </w:r>
          </w:p>
        </w:tc>
        <w:tc>
          <w:tcPr>
            <w:tcW w:w="3180" w:type="dxa"/>
            <w:tcMar>
              <w:top w:w="0" w:type="dxa"/>
              <w:bottom w:w="0" w:type="dxa"/>
            </w:tcMar>
            <w:vAlign w:val="center"/>
          </w:tcPr>
          <w:p w14:paraId="514EEB91" w14:textId="77777777" w:rsidR="000149DF" w:rsidRDefault="00000000">
            <w:pPr>
              <w:keepNext/>
              <w:keepLines/>
              <w:spacing w:after="0" w:line="240" w:lineRule="auto"/>
            </w:pPr>
            <w:r>
              <w:rPr>
                <w:sz w:val="18"/>
              </w:rPr>
              <w:t>Uredska oprema i namještaj</w:t>
            </w:r>
          </w:p>
        </w:tc>
        <w:tc>
          <w:tcPr>
            <w:tcW w:w="700" w:type="dxa"/>
            <w:tcMar>
              <w:top w:w="0" w:type="dxa"/>
              <w:bottom w:w="0" w:type="dxa"/>
            </w:tcMar>
            <w:vAlign w:val="center"/>
          </w:tcPr>
          <w:p w14:paraId="5BAFFD41" w14:textId="77777777" w:rsidR="000149DF" w:rsidRDefault="00000000">
            <w:pPr>
              <w:keepNext/>
              <w:keepLines/>
              <w:spacing w:after="0" w:line="240" w:lineRule="auto"/>
            </w:pPr>
            <w:r>
              <w:rPr>
                <w:sz w:val="18"/>
              </w:rPr>
              <w:t>0221</w:t>
            </w:r>
          </w:p>
        </w:tc>
        <w:tc>
          <w:tcPr>
            <w:tcW w:w="1860" w:type="dxa"/>
            <w:tcMar>
              <w:top w:w="0" w:type="dxa"/>
              <w:bottom w:w="0" w:type="dxa"/>
            </w:tcMar>
            <w:vAlign w:val="center"/>
          </w:tcPr>
          <w:p w14:paraId="09938FD1" w14:textId="77777777" w:rsidR="000149DF" w:rsidRDefault="00000000">
            <w:pPr>
              <w:keepNext/>
              <w:keepLines/>
              <w:spacing w:after="0" w:line="240" w:lineRule="auto"/>
              <w:jc w:val="right"/>
            </w:pPr>
            <w:r>
              <w:rPr>
                <w:sz w:val="18"/>
              </w:rPr>
              <w:t>1.296.305,62</w:t>
            </w:r>
          </w:p>
        </w:tc>
        <w:tc>
          <w:tcPr>
            <w:tcW w:w="1860" w:type="dxa"/>
            <w:tcMar>
              <w:top w:w="0" w:type="dxa"/>
              <w:bottom w:w="0" w:type="dxa"/>
            </w:tcMar>
            <w:vAlign w:val="center"/>
          </w:tcPr>
          <w:p w14:paraId="7D00F94C" w14:textId="77777777" w:rsidR="000149DF" w:rsidRDefault="00000000">
            <w:pPr>
              <w:keepNext/>
              <w:keepLines/>
              <w:spacing w:after="0" w:line="240" w:lineRule="auto"/>
              <w:jc w:val="right"/>
            </w:pPr>
            <w:r>
              <w:rPr>
                <w:sz w:val="18"/>
              </w:rPr>
              <w:t>1.320.309,37</w:t>
            </w:r>
          </w:p>
        </w:tc>
        <w:tc>
          <w:tcPr>
            <w:tcW w:w="700" w:type="dxa"/>
            <w:tcMar>
              <w:top w:w="0" w:type="dxa"/>
              <w:bottom w:w="0" w:type="dxa"/>
            </w:tcMar>
            <w:vAlign w:val="center"/>
          </w:tcPr>
          <w:p w14:paraId="2968D78A" w14:textId="77777777" w:rsidR="000149DF" w:rsidRDefault="00000000">
            <w:pPr>
              <w:keepNext/>
              <w:keepLines/>
              <w:spacing w:after="0" w:line="240" w:lineRule="auto"/>
              <w:jc w:val="right"/>
            </w:pPr>
            <w:r>
              <w:rPr>
                <w:sz w:val="18"/>
              </w:rPr>
              <w:t>101,9</w:t>
            </w:r>
          </w:p>
        </w:tc>
      </w:tr>
    </w:tbl>
    <w:p w14:paraId="41C10FC9" w14:textId="77777777" w:rsidR="000149DF" w:rsidRDefault="000149DF">
      <w:pPr>
        <w:spacing w:after="0"/>
      </w:pPr>
    </w:p>
    <w:p w14:paraId="26877800" w14:textId="77777777" w:rsidR="000149DF" w:rsidRDefault="00000000">
      <w:r>
        <w:t>Povećanje na uredskoj opremi i namještaju odnosi se na kupnju računala, računalne opreme i uredskog namještaja za potrebe poslovanja upravnih tijela.</w:t>
      </w:r>
    </w:p>
    <w:p w14:paraId="361353A5" w14:textId="77777777" w:rsidR="000149DF" w:rsidRDefault="000149DF"/>
    <w:p w14:paraId="1E7CAAE6" w14:textId="77777777" w:rsidR="000149DF" w:rsidRDefault="00000000">
      <w:pPr>
        <w:keepNext/>
        <w:spacing w:line="240" w:lineRule="auto"/>
        <w:jc w:val="center"/>
      </w:pPr>
      <w:r>
        <w:rPr>
          <w:sz w:val="28"/>
        </w:rPr>
        <w:t>Bilješka 56.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91A6E2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FB4F7BF"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C912B16"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82EB684"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31CE9C1"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77405811"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7A7F84E6" w14:textId="77777777" w:rsidR="000149DF" w:rsidRDefault="00000000">
            <w:pPr>
              <w:keepNext/>
              <w:keepLines/>
              <w:spacing w:after="0" w:line="240" w:lineRule="auto"/>
              <w:jc w:val="center"/>
            </w:pPr>
            <w:r>
              <w:rPr>
                <w:b/>
                <w:sz w:val="18"/>
              </w:rPr>
              <w:t>Indeks (%)</w:t>
            </w:r>
          </w:p>
        </w:tc>
      </w:tr>
      <w:tr w:rsidR="000149DF" w14:paraId="13B29038" w14:textId="77777777">
        <w:tblPrEx>
          <w:tblCellMar>
            <w:top w:w="0" w:type="dxa"/>
            <w:bottom w:w="0" w:type="dxa"/>
          </w:tblCellMar>
        </w:tblPrEx>
        <w:trPr>
          <w:cantSplit/>
          <w:trHeight w:val="560"/>
        </w:trPr>
        <w:tc>
          <w:tcPr>
            <w:tcW w:w="700" w:type="dxa"/>
            <w:tcMar>
              <w:top w:w="0" w:type="dxa"/>
              <w:bottom w:w="0" w:type="dxa"/>
            </w:tcMar>
            <w:vAlign w:val="center"/>
          </w:tcPr>
          <w:p w14:paraId="5600BF15" w14:textId="77777777" w:rsidR="000149DF" w:rsidRDefault="00000000">
            <w:pPr>
              <w:keepNext/>
              <w:keepLines/>
              <w:spacing w:after="0" w:line="240" w:lineRule="auto"/>
            </w:pPr>
            <w:r>
              <w:rPr>
                <w:sz w:val="18"/>
              </w:rPr>
              <w:t>0222</w:t>
            </w:r>
          </w:p>
        </w:tc>
        <w:tc>
          <w:tcPr>
            <w:tcW w:w="3180" w:type="dxa"/>
            <w:tcMar>
              <w:top w:w="0" w:type="dxa"/>
              <w:bottom w:w="0" w:type="dxa"/>
            </w:tcMar>
            <w:vAlign w:val="center"/>
          </w:tcPr>
          <w:p w14:paraId="75AF7E90" w14:textId="77777777" w:rsidR="000149DF" w:rsidRDefault="00000000">
            <w:pPr>
              <w:keepNext/>
              <w:keepLines/>
              <w:spacing w:after="0" w:line="240" w:lineRule="auto"/>
            </w:pPr>
            <w:r>
              <w:rPr>
                <w:sz w:val="18"/>
              </w:rPr>
              <w:t>Komunikacijska oprema</w:t>
            </w:r>
          </w:p>
        </w:tc>
        <w:tc>
          <w:tcPr>
            <w:tcW w:w="700" w:type="dxa"/>
            <w:tcMar>
              <w:top w:w="0" w:type="dxa"/>
              <w:bottom w:w="0" w:type="dxa"/>
            </w:tcMar>
            <w:vAlign w:val="center"/>
          </w:tcPr>
          <w:p w14:paraId="689756C4" w14:textId="77777777" w:rsidR="000149DF" w:rsidRDefault="00000000">
            <w:pPr>
              <w:keepNext/>
              <w:keepLines/>
              <w:spacing w:after="0" w:line="240" w:lineRule="auto"/>
            </w:pPr>
            <w:r>
              <w:rPr>
                <w:sz w:val="18"/>
              </w:rPr>
              <w:t>0222</w:t>
            </w:r>
          </w:p>
        </w:tc>
        <w:tc>
          <w:tcPr>
            <w:tcW w:w="1860" w:type="dxa"/>
            <w:tcMar>
              <w:top w:w="0" w:type="dxa"/>
              <w:bottom w:w="0" w:type="dxa"/>
            </w:tcMar>
            <w:vAlign w:val="center"/>
          </w:tcPr>
          <w:p w14:paraId="10E8922B" w14:textId="77777777" w:rsidR="000149DF" w:rsidRDefault="00000000">
            <w:pPr>
              <w:keepNext/>
              <w:keepLines/>
              <w:spacing w:after="0" w:line="240" w:lineRule="auto"/>
              <w:jc w:val="right"/>
            </w:pPr>
            <w:r>
              <w:rPr>
                <w:sz w:val="18"/>
              </w:rPr>
              <w:t>362.493,21</w:t>
            </w:r>
          </w:p>
        </w:tc>
        <w:tc>
          <w:tcPr>
            <w:tcW w:w="1860" w:type="dxa"/>
            <w:tcMar>
              <w:top w:w="0" w:type="dxa"/>
              <w:bottom w:w="0" w:type="dxa"/>
            </w:tcMar>
            <w:vAlign w:val="center"/>
          </w:tcPr>
          <w:p w14:paraId="453C43DA" w14:textId="77777777" w:rsidR="000149DF" w:rsidRDefault="00000000">
            <w:pPr>
              <w:keepNext/>
              <w:keepLines/>
              <w:spacing w:after="0" w:line="240" w:lineRule="auto"/>
              <w:jc w:val="right"/>
            </w:pPr>
            <w:r>
              <w:rPr>
                <w:sz w:val="18"/>
              </w:rPr>
              <w:t>340.007,27</w:t>
            </w:r>
          </w:p>
        </w:tc>
        <w:tc>
          <w:tcPr>
            <w:tcW w:w="700" w:type="dxa"/>
            <w:tcMar>
              <w:top w:w="0" w:type="dxa"/>
              <w:bottom w:w="0" w:type="dxa"/>
            </w:tcMar>
            <w:vAlign w:val="center"/>
          </w:tcPr>
          <w:p w14:paraId="3403DFEF" w14:textId="77777777" w:rsidR="000149DF" w:rsidRDefault="00000000">
            <w:pPr>
              <w:keepNext/>
              <w:keepLines/>
              <w:spacing w:after="0" w:line="240" w:lineRule="auto"/>
              <w:jc w:val="right"/>
            </w:pPr>
            <w:r>
              <w:rPr>
                <w:sz w:val="18"/>
              </w:rPr>
              <w:t>93,8</w:t>
            </w:r>
          </w:p>
        </w:tc>
      </w:tr>
    </w:tbl>
    <w:p w14:paraId="44537741" w14:textId="77777777" w:rsidR="000149DF" w:rsidRDefault="000149DF">
      <w:pPr>
        <w:spacing w:after="0"/>
      </w:pPr>
    </w:p>
    <w:p w14:paraId="5112DA52" w14:textId="77777777" w:rsidR="000149DF" w:rsidRDefault="00000000">
      <w:r>
        <w:t>Smanjenje na komunikacijskoj opremi rezultat je isknjiženja telefonske i telegrafske centrale, telefona i ostalih komunikacijskih uređaja  te ostale komunikacijske opreme u iznosu od 22.719,94 €</w:t>
      </w:r>
    </w:p>
    <w:p w14:paraId="5B4E503B" w14:textId="77777777" w:rsidR="000149DF" w:rsidRDefault="000149DF"/>
    <w:p w14:paraId="6668DC78" w14:textId="77777777" w:rsidR="000149DF" w:rsidRDefault="00000000">
      <w:pPr>
        <w:keepNext/>
        <w:spacing w:line="240" w:lineRule="auto"/>
        <w:jc w:val="center"/>
      </w:pPr>
      <w:r>
        <w:rPr>
          <w:sz w:val="28"/>
        </w:rPr>
        <w:t>Bilješka 57.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38F3A90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FDEDD28"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3D72126"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F1F6B92"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36EA5CB"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6DB29FF"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00E6FFE5" w14:textId="77777777" w:rsidR="000149DF" w:rsidRDefault="00000000">
            <w:pPr>
              <w:keepNext/>
              <w:keepLines/>
              <w:spacing w:after="0" w:line="240" w:lineRule="auto"/>
              <w:jc w:val="center"/>
            </w:pPr>
            <w:r>
              <w:rPr>
                <w:b/>
                <w:sz w:val="18"/>
              </w:rPr>
              <w:t>Indeks (%)</w:t>
            </w:r>
          </w:p>
        </w:tc>
      </w:tr>
      <w:tr w:rsidR="000149DF" w14:paraId="7B62D8BB" w14:textId="77777777">
        <w:tblPrEx>
          <w:tblCellMar>
            <w:top w:w="0" w:type="dxa"/>
            <w:bottom w:w="0" w:type="dxa"/>
          </w:tblCellMar>
        </w:tblPrEx>
        <w:trPr>
          <w:cantSplit/>
          <w:trHeight w:val="560"/>
        </w:trPr>
        <w:tc>
          <w:tcPr>
            <w:tcW w:w="700" w:type="dxa"/>
            <w:tcMar>
              <w:top w:w="0" w:type="dxa"/>
              <w:bottom w:w="0" w:type="dxa"/>
            </w:tcMar>
            <w:vAlign w:val="center"/>
          </w:tcPr>
          <w:p w14:paraId="76A7DA77" w14:textId="77777777" w:rsidR="000149DF" w:rsidRDefault="00000000">
            <w:pPr>
              <w:keepNext/>
              <w:keepLines/>
              <w:spacing w:after="0" w:line="240" w:lineRule="auto"/>
            </w:pPr>
            <w:r>
              <w:rPr>
                <w:sz w:val="18"/>
              </w:rPr>
              <w:t>0223</w:t>
            </w:r>
          </w:p>
        </w:tc>
        <w:tc>
          <w:tcPr>
            <w:tcW w:w="3180" w:type="dxa"/>
            <w:tcMar>
              <w:top w:w="0" w:type="dxa"/>
              <w:bottom w:w="0" w:type="dxa"/>
            </w:tcMar>
            <w:vAlign w:val="center"/>
          </w:tcPr>
          <w:p w14:paraId="2074EEA2" w14:textId="77777777" w:rsidR="000149DF" w:rsidRDefault="00000000">
            <w:pPr>
              <w:keepNext/>
              <w:keepLines/>
              <w:spacing w:after="0" w:line="240" w:lineRule="auto"/>
            </w:pPr>
            <w:r>
              <w:rPr>
                <w:sz w:val="18"/>
              </w:rPr>
              <w:t>Oprema za održavanje i zaštitu</w:t>
            </w:r>
          </w:p>
        </w:tc>
        <w:tc>
          <w:tcPr>
            <w:tcW w:w="700" w:type="dxa"/>
            <w:tcMar>
              <w:top w:w="0" w:type="dxa"/>
              <w:bottom w:w="0" w:type="dxa"/>
            </w:tcMar>
            <w:vAlign w:val="center"/>
          </w:tcPr>
          <w:p w14:paraId="40F389CE" w14:textId="77777777" w:rsidR="000149DF" w:rsidRDefault="00000000">
            <w:pPr>
              <w:keepNext/>
              <w:keepLines/>
              <w:spacing w:after="0" w:line="240" w:lineRule="auto"/>
            </w:pPr>
            <w:r>
              <w:rPr>
                <w:sz w:val="18"/>
              </w:rPr>
              <w:t>0223</w:t>
            </w:r>
          </w:p>
        </w:tc>
        <w:tc>
          <w:tcPr>
            <w:tcW w:w="1860" w:type="dxa"/>
            <w:tcMar>
              <w:top w:w="0" w:type="dxa"/>
              <w:bottom w:w="0" w:type="dxa"/>
            </w:tcMar>
            <w:vAlign w:val="center"/>
          </w:tcPr>
          <w:p w14:paraId="59FA6C37" w14:textId="77777777" w:rsidR="000149DF" w:rsidRDefault="00000000">
            <w:pPr>
              <w:keepNext/>
              <w:keepLines/>
              <w:spacing w:after="0" w:line="240" w:lineRule="auto"/>
              <w:jc w:val="right"/>
            </w:pPr>
            <w:r>
              <w:rPr>
                <w:sz w:val="18"/>
              </w:rPr>
              <w:t>1.036.841,15</w:t>
            </w:r>
          </w:p>
        </w:tc>
        <w:tc>
          <w:tcPr>
            <w:tcW w:w="1860" w:type="dxa"/>
            <w:tcMar>
              <w:top w:w="0" w:type="dxa"/>
              <w:bottom w:w="0" w:type="dxa"/>
            </w:tcMar>
            <w:vAlign w:val="center"/>
          </w:tcPr>
          <w:p w14:paraId="771665A6" w14:textId="77777777" w:rsidR="000149DF" w:rsidRDefault="00000000">
            <w:pPr>
              <w:keepNext/>
              <w:keepLines/>
              <w:spacing w:after="0" w:line="240" w:lineRule="auto"/>
              <w:jc w:val="right"/>
            </w:pPr>
            <w:r>
              <w:rPr>
                <w:sz w:val="18"/>
              </w:rPr>
              <w:t>1.232.690,84</w:t>
            </w:r>
          </w:p>
        </w:tc>
        <w:tc>
          <w:tcPr>
            <w:tcW w:w="700" w:type="dxa"/>
            <w:tcMar>
              <w:top w:w="0" w:type="dxa"/>
              <w:bottom w:w="0" w:type="dxa"/>
            </w:tcMar>
            <w:vAlign w:val="center"/>
          </w:tcPr>
          <w:p w14:paraId="3146922F" w14:textId="77777777" w:rsidR="000149DF" w:rsidRDefault="00000000">
            <w:pPr>
              <w:keepNext/>
              <w:keepLines/>
              <w:spacing w:after="0" w:line="240" w:lineRule="auto"/>
              <w:jc w:val="right"/>
            </w:pPr>
            <w:r>
              <w:rPr>
                <w:sz w:val="18"/>
              </w:rPr>
              <w:t>118,9</w:t>
            </w:r>
          </w:p>
        </w:tc>
      </w:tr>
    </w:tbl>
    <w:p w14:paraId="1A217EF6" w14:textId="77777777" w:rsidR="000149DF" w:rsidRDefault="000149DF">
      <w:pPr>
        <w:spacing w:after="0"/>
      </w:pPr>
    </w:p>
    <w:p w14:paraId="1210751E" w14:textId="77777777" w:rsidR="000149DF" w:rsidRDefault="00000000">
      <w:r>
        <w:t>Povećanje na opremi za održavanje i zaštitu rezultat je nabave opreme za civilnu zaštitu u iznosu od 262.496,25 € po Eu projektu  HANDY.</w:t>
      </w:r>
    </w:p>
    <w:p w14:paraId="1C69B9E5" w14:textId="77777777" w:rsidR="000149DF" w:rsidRDefault="000149DF"/>
    <w:p w14:paraId="1F0D504C" w14:textId="77777777" w:rsidR="000149DF" w:rsidRDefault="00000000">
      <w:pPr>
        <w:keepNext/>
        <w:spacing w:line="240" w:lineRule="auto"/>
        <w:jc w:val="center"/>
      </w:pPr>
      <w:r>
        <w:rPr>
          <w:sz w:val="28"/>
        </w:rPr>
        <w:t>Bilješka 58.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6684C9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CCE3FBC"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F6FFE1D"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674912D"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0F241E4"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8D699CC"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BD71C5F" w14:textId="77777777" w:rsidR="000149DF" w:rsidRDefault="00000000">
            <w:pPr>
              <w:keepNext/>
              <w:keepLines/>
              <w:spacing w:after="0" w:line="240" w:lineRule="auto"/>
              <w:jc w:val="center"/>
            </w:pPr>
            <w:r>
              <w:rPr>
                <w:b/>
                <w:sz w:val="18"/>
              </w:rPr>
              <w:t>Indeks (%)</w:t>
            </w:r>
          </w:p>
        </w:tc>
      </w:tr>
      <w:tr w:rsidR="000149DF" w14:paraId="0F5B0643" w14:textId="77777777">
        <w:tblPrEx>
          <w:tblCellMar>
            <w:top w:w="0" w:type="dxa"/>
            <w:bottom w:w="0" w:type="dxa"/>
          </w:tblCellMar>
        </w:tblPrEx>
        <w:trPr>
          <w:cantSplit/>
          <w:trHeight w:val="560"/>
        </w:trPr>
        <w:tc>
          <w:tcPr>
            <w:tcW w:w="700" w:type="dxa"/>
            <w:tcMar>
              <w:top w:w="0" w:type="dxa"/>
              <w:bottom w:w="0" w:type="dxa"/>
            </w:tcMar>
            <w:vAlign w:val="center"/>
          </w:tcPr>
          <w:p w14:paraId="2A5016A7" w14:textId="77777777" w:rsidR="000149DF" w:rsidRDefault="00000000">
            <w:pPr>
              <w:keepNext/>
              <w:keepLines/>
              <w:spacing w:after="0" w:line="240" w:lineRule="auto"/>
            </w:pPr>
            <w:r>
              <w:rPr>
                <w:sz w:val="18"/>
              </w:rPr>
              <w:t>0225</w:t>
            </w:r>
          </w:p>
        </w:tc>
        <w:tc>
          <w:tcPr>
            <w:tcW w:w="3180" w:type="dxa"/>
            <w:tcMar>
              <w:top w:w="0" w:type="dxa"/>
              <w:bottom w:w="0" w:type="dxa"/>
            </w:tcMar>
            <w:vAlign w:val="center"/>
          </w:tcPr>
          <w:p w14:paraId="5D81C28F" w14:textId="77777777" w:rsidR="000149DF" w:rsidRDefault="00000000">
            <w:pPr>
              <w:keepNext/>
              <w:keepLines/>
              <w:spacing w:after="0" w:line="240" w:lineRule="auto"/>
            </w:pPr>
            <w:r>
              <w:rPr>
                <w:sz w:val="18"/>
              </w:rPr>
              <w:t>Instrumenti i uređaji</w:t>
            </w:r>
          </w:p>
        </w:tc>
        <w:tc>
          <w:tcPr>
            <w:tcW w:w="700" w:type="dxa"/>
            <w:tcMar>
              <w:top w:w="0" w:type="dxa"/>
              <w:bottom w:w="0" w:type="dxa"/>
            </w:tcMar>
            <w:vAlign w:val="center"/>
          </w:tcPr>
          <w:p w14:paraId="5611C323" w14:textId="77777777" w:rsidR="000149DF" w:rsidRDefault="00000000">
            <w:pPr>
              <w:keepNext/>
              <w:keepLines/>
              <w:spacing w:after="0" w:line="240" w:lineRule="auto"/>
            </w:pPr>
            <w:r>
              <w:rPr>
                <w:sz w:val="18"/>
              </w:rPr>
              <w:t>0225</w:t>
            </w:r>
          </w:p>
        </w:tc>
        <w:tc>
          <w:tcPr>
            <w:tcW w:w="1860" w:type="dxa"/>
            <w:tcMar>
              <w:top w:w="0" w:type="dxa"/>
              <w:bottom w:w="0" w:type="dxa"/>
            </w:tcMar>
            <w:vAlign w:val="center"/>
          </w:tcPr>
          <w:p w14:paraId="0277F1BB" w14:textId="77777777" w:rsidR="000149DF" w:rsidRDefault="00000000">
            <w:pPr>
              <w:keepNext/>
              <w:keepLines/>
              <w:spacing w:after="0" w:line="240" w:lineRule="auto"/>
              <w:jc w:val="right"/>
            </w:pPr>
            <w:r>
              <w:rPr>
                <w:sz w:val="18"/>
              </w:rPr>
              <w:t>198.520,07</w:t>
            </w:r>
          </w:p>
        </w:tc>
        <w:tc>
          <w:tcPr>
            <w:tcW w:w="1860" w:type="dxa"/>
            <w:tcMar>
              <w:top w:w="0" w:type="dxa"/>
              <w:bottom w:w="0" w:type="dxa"/>
            </w:tcMar>
            <w:vAlign w:val="center"/>
          </w:tcPr>
          <w:p w14:paraId="4E814882" w14:textId="77777777" w:rsidR="000149DF" w:rsidRDefault="00000000">
            <w:pPr>
              <w:keepNext/>
              <w:keepLines/>
              <w:spacing w:after="0" w:line="240" w:lineRule="auto"/>
              <w:jc w:val="right"/>
            </w:pPr>
            <w:r>
              <w:rPr>
                <w:sz w:val="18"/>
              </w:rPr>
              <w:t>208.540,52</w:t>
            </w:r>
          </w:p>
        </w:tc>
        <w:tc>
          <w:tcPr>
            <w:tcW w:w="700" w:type="dxa"/>
            <w:tcMar>
              <w:top w:w="0" w:type="dxa"/>
              <w:bottom w:w="0" w:type="dxa"/>
            </w:tcMar>
            <w:vAlign w:val="center"/>
          </w:tcPr>
          <w:p w14:paraId="50C77832" w14:textId="77777777" w:rsidR="000149DF" w:rsidRDefault="00000000">
            <w:pPr>
              <w:keepNext/>
              <w:keepLines/>
              <w:spacing w:after="0" w:line="240" w:lineRule="auto"/>
              <w:jc w:val="right"/>
            </w:pPr>
            <w:r>
              <w:rPr>
                <w:sz w:val="18"/>
              </w:rPr>
              <w:t>105,0</w:t>
            </w:r>
          </w:p>
        </w:tc>
      </w:tr>
    </w:tbl>
    <w:p w14:paraId="320BE1A0" w14:textId="77777777" w:rsidR="000149DF" w:rsidRDefault="000149DF">
      <w:pPr>
        <w:spacing w:after="0"/>
      </w:pPr>
    </w:p>
    <w:p w14:paraId="0CDB9430" w14:textId="77777777" w:rsidR="000149DF" w:rsidRDefault="00000000">
      <w:r>
        <w:lastRenderedPageBreak/>
        <w:t>Povećanje na instrumenti i uređaji odnosi se na nabavu agrometeorološke stanice u iznosu od 10.020,45 € po EU projektu MOWACLIM.</w:t>
      </w:r>
    </w:p>
    <w:p w14:paraId="5ED0BFD7" w14:textId="77777777" w:rsidR="000149DF" w:rsidRDefault="000149DF"/>
    <w:p w14:paraId="095C831C" w14:textId="77777777" w:rsidR="000149DF" w:rsidRDefault="00000000">
      <w:pPr>
        <w:keepNext/>
        <w:spacing w:line="240" w:lineRule="auto"/>
        <w:jc w:val="center"/>
      </w:pPr>
      <w:r>
        <w:rPr>
          <w:sz w:val="28"/>
        </w:rPr>
        <w:t>Bilješka 59.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C2F1DB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D1E8125"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64D3637"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B25CAA6"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3DC2703"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4FD1565C"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2CEAF112" w14:textId="77777777" w:rsidR="000149DF" w:rsidRDefault="00000000">
            <w:pPr>
              <w:keepNext/>
              <w:keepLines/>
              <w:spacing w:after="0" w:line="240" w:lineRule="auto"/>
              <w:jc w:val="center"/>
            </w:pPr>
            <w:r>
              <w:rPr>
                <w:b/>
                <w:sz w:val="18"/>
              </w:rPr>
              <w:t>Indeks (%)</w:t>
            </w:r>
          </w:p>
        </w:tc>
      </w:tr>
      <w:tr w:rsidR="000149DF" w14:paraId="5DAF5EE7" w14:textId="77777777">
        <w:tblPrEx>
          <w:tblCellMar>
            <w:top w:w="0" w:type="dxa"/>
            <w:bottom w:w="0" w:type="dxa"/>
          </w:tblCellMar>
        </w:tblPrEx>
        <w:trPr>
          <w:cantSplit/>
          <w:trHeight w:val="560"/>
        </w:trPr>
        <w:tc>
          <w:tcPr>
            <w:tcW w:w="700" w:type="dxa"/>
            <w:tcMar>
              <w:top w:w="0" w:type="dxa"/>
              <w:bottom w:w="0" w:type="dxa"/>
            </w:tcMar>
            <w:vAlign w:val="center"/>
          </w:tcPr>
          <w:p w14:paraId="46942869" w14:textId="77777777" w:rsidR="000149DF" w:rsidRDefault="00000000">
            <w:pPr>
              <w:keepNext/>
              <w:keepLines/>
              <w:spacing w:after="0" w:line="240" w:lineRule="auto"/>
            </w:pPr>
            <w:r>
              <w:rPr>
                <w:sz w:val="18"/>
              </w:rPr>
              <w:t>0227</w:t>
            </w:r>
          </w:p>
        </w:tc>
        <w:tc>
          <w:tcPr>
            <w:tcW w:w="3180" w:type="dxa"/>
            <w:tcMar>
              <w:top w:w="0" w:type="dxa"/>
              <w:bottom w:w="0" w:type="dxa"/>
            </w:tcMar>
            <w:vAlign w:val="center"/>
          </w:tcPr>
          <w:p w14:paraId="3CDF14B1" w14:textId="77777777" w:rsidR="000149DF" w:rsidRDefault="00000000">
            <w:pPr>
              <w:keepNext/>
              <w:keepLines/>
              <w:spacing w:after="0" w:line="240" w:lineRule="auto"/>
            </w:pPr>
            <w:r>
              <w:rPr>
                <w:sz w:val="18"/>
              </w:rPr>
              <w:t>Uređaji, strojevi i oprema za ostale namjene</w:t>
            </w:r>
          </w:p>
        </w:tc>
        <w:tc>
          <w:tcPr>
            <w:tcW w:w="700" w:type="dxa"/>
            <w:tcMar>
              <w:top w:w="0" w:type="dxa"/>
              <w:bottom w:w="0" w:type="dxa"/>
            </w:tcMar>
            <w:vAlign w:val="center"/>
          </w:tcPr>
          <w:p w14:paraId="5529AE41" w14:textId="77777777" w:rsidR="000149DF" w:rsidRDefault="00000000">
            <w:pPr>
              <w:keepNext/>
              <w:keepLines/>
              <w:spacing w:after="0" w:line="240" w:lineRule="auto"/>
            </w:pPr>
            <w:r>
              <w:rPr>
                <w:sz w:val="18"/>
              </w:rPr>
              <w:t>0227</w:t>
            </w:r>
          </w:p>
        </w:tc>
        <w:tc>
          <w:tcPr>
            <w:tcW w:w="1860" w:type="dxa"/>
            <w:tcMar>
              <w:top w:w="0" w:type="dxa"/>
              <w:bottom w:w="0" w:type="dxa"/>
            </w:tcMar>
            <w:vAlign w:val="center"/>
          </w:tcPr>
          <w:p w14:paraId="3B0ED94B" w14:textId="77777777" w:rsidR="000149DF" w:rsidRDefault="00000000">
            <w:pPr>
              <w:keepNext/>
              <w:keepLines/>
              <w:spacing w:after="0" w:line="240" w:lineRule="auto"/>
              <w:jc w:val="right"/>
            </w:pPr>
            <w:r>
              <w:rPr>
                <w:sz w:val="18"/>
              </w:rPr>
              <w:t>321.267,08</w:t>
            </w:r>
          </w:p>
        </w:tc>
        <w:tc>
          <w:tcPr>
            <w:tcW w:w="1860" w:type="dxa"/>
            <w:tcMar>
              <w:top w:w="0" w:type="dxa"/>
              <w:bottom w:w="0" w:type="dxa"/>
            </w:tcMar>
            <w:vAlign w:val="center"/>
          </w:tcPr>
          <w:p w14:paraId="43B2D861" w14:textId="77777777" w:rsidR="000149DF" w:rsidRDefault="00000000">
            <w:pPr>
              <w:keepNext/>
              <w:keepLines/>
              <w:spacing w:after="0" w:line="240" w:lineRule="auto"/>
              <w:jc w:val="right"/>
            </w:pPr>
            <w:r>
              <w:rPr>
                <w:sz w:val="18"/>
              </w:rPr>
              <w:t>352.600,69</w:t>
            </w:r>
          </w:p>
        </w:tc>
        <w:tc>
          <w:tcPr>
            <w:tcW w:w="700" w:type="dxa"/>
            <w:tcMar>
              <w:top w:w="0" w:type="dxa"/>
              <w:bottom w:w="0" w:type="dxa"/>
            </w:tcMar>
            <w:vAlign w:val="center"/>
          </w:tcPr>
          <w:p w14:paraId="3F23DBAD" w14:textId="77777777" w:rsidR="000149DF" w:rsidRDefault="00000000">
            <w:pPr>
              <w:keepNext/>
              <w:keepLines/>
              <w:spacing w:after="0" w:line="240" w:lineRule="auto"/>
              <w:jc w:val="right"/>
            </w:pPr>
            <w:r>
              <w:rPr>
                <w:sz w:val="18"/>
              </w:rPr>
              <w:t>109,8</w:t>
            </w:r>
          </w:p>
        </w:tc>
      </w:tr>
    </w:tbl>
    <w:p w14:paraId="2BD8A2B4" w14:textId="77777777" w:rsidR="000149DF" w:rsidRDefault="000149DF">
      <w:pPr>
        <w:spacing w:after="0"/>
      </w:pPr>
    </w:p>
    <w:p w14:paraId="30E6A49D" w14:textId="77777777" w:rsidR="000149DF" w:rsidRDefault="00000000">
      <w:r>
        <w:t>Povećanje se odnosi na nabavu sustava video nadzora u iznosu od 20.993,58 € i nabavau opreme za uređenja okoliša oko Javne ustanove za upravljanje zaštićenim dijelovima prirode DNŽ u iznosu od 10.337,02 € .</w:t>
      </w:r>
    </w:p>
    <w:p w14:paraId="1B45F0FB" w14:textId="77777777" w:rsidR="000149DF" w:rsidRDefault="000149DF"/>
    <w:p w14:paraId="653A8DC5" w14:textId="77777777" w:rsidR="000149DF" w:rsidRDefault="00000000">
      <w:pPr>
        <w:keepNext/>
        <w:spacing w:line="240" w:lineRule="auto"/>
        <w:jc w:val="center"/>
      </w:pPr>
      <w:r>
        <w:rPr>
          <w:sz w:val="28"/>
        </w:rPr>
        <w:t>Bilješka 60.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AA817C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25DAE70"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EF9B96F"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D4B9A63"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86E913F"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4C6EA16"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E0F43C8" w14:textId="77777777" w:rsidR="000149DF" w:rsidRDefault="00000000">
            <w:pPr>
              <w:keepNext/>
              <w:keepLines/>
              <w:spacing w:after="0" w:line="240" w:lineRule="auto"/>
              <w:jc w:val="center"/>
            </w:pPr>
            <w:r>
              <w:rPr>
                <w:b/>
                <w:sz w:val="18"/>
              </w:rPr>
              <w:t>Indeks (%)</w:t>
            </w:r>
          </w:p>
        </w:tc>
      </w:tr>
      <w:tr w:rsidR="000149DF" w14:paraId="21075868" w14:textId="77777777">
        <w:tblPrEx>
          <w:tblCellMar>
            <w:top w:w="0" w:type="dxa"/>
            <w:bottom w:w="0" w:type="dxa"/>
          </w:tblCellMar>
        </w:tblPrEx>
        <w:trPr>
          <w:cantSplit/>
          <w:trHeight w:val="560"/>
        </w:trPr>
        <w:tc>
          <w:tcPr>
            <w:tcW w:w="700" w:type="dxa"/>
            <w:tcMar>
              <w:top w:w="0" w:type="dxa"/>
              <w:bottom w:w="0" w:type="dxa"/>
            </w:tcMar>
            <w:vAlign w:val="center"/>
          </w:tcPr>
          <w:p w14:paraId="4DA65D54" w14:textId="77777777" w:rsidR="000149DF" w:rsidRDefault="00000000">
            <w:pPr>
              <w:keepNext/>
              <w:keepLines/>
              <w:spacing w:after="0" w:line="240" w:lineRule="auto"/>
            </w:pPr>
            <w:r>
              <w:rPr>
                <w:sz w:val="18"/>
              </w:rPr>
              <w:t>0231</w:t>
            </w:r>
          </w:p>
        </w:tc>
        <w:tc>
          <w:tcPr>
            <w:tcW w:w="3180" w:type="dxa"/>
            <w:tcMar>
              <w:top w:w="0" w:type="dxa"/>
              <w:bottom w:w="0" w:type="dxa"/>
            </w:tcMar>
            <w:vAlign w:val="center"/>
          </w:tcPr>
          <w:p w14:paraId="02574665" w14:textId="77777777" w:rsidR="000149DF" w:rsidRDefault="00000000">
            <w:pPr>
              <w:keepNext/>
              <w:keepLines/>
              <w:spacing w:after="0" w:line="240" w:lineRule="auto"/>
            </w:pPr>
            <w:r>
              <w:rPr>
                <w:sz w:val="18"/>
              </w:rPr>
              <w:t>Prijevozna sredstva u cestovnom prometu</w:t>
            </w:r>
          </w:p>
        </w:tc>
        <w:tc>
          <w:tcPr>
            <w:tcW w:w="700" w:type="dxa"/>
            <w:tcMar>
              <w:top w:w="0" w:type="dxa"/>
              <w:bottom w:w="0" w:type="dxa"/>
            </w:tcMar>
            <w:vAlign w:val="center"/>
          </w:tcPr>
          <w:p w14:paraId="6934533A" w14:textId="77777777" w:rsidR="000149DF" w:rsidRDefault="00000000">
            <w:pPr>
              <w:keepNext/>
              <w:keepLines/>
              <w:spacing w:after="0" w:line="240" w:lineRule="auto"/>
            </w:pPr>
            <w:r>
              <w:rPr>
                <w:sz w:val="18"/>
              </w:rPr>
              <w:t>0231</w:t>
            </w:r>
          </w:p>
        </w:tc>
        <w:tc>
          <w:tcPr>
            <w:tcW w:w="1860" w:type="dxa"/>
            <w:tcMar>
              <w:top w:w="0" w:type="dxa"/>
              <w:bottom w:w="0" w:type="dxa"/>
            </w:tcMar>
            <w:vAlign w:val="center"/>
          </w:tcPr>
          <w:p w14:paraId="1769BD4E" w14:textId="77777777" w:rsidR="000149DF" w:rsidRDefault="00000000">
            <w:pPr>
              <w:keepNext/>
              <w:keepLines/>
              <w:spacing w:after="0" w:line="240" w:lineRule="auto"/>
              <w:jc w:val="right"/>
            </w:pPr>
            <w:r>
              <w:rPr>
                <w:sz w:val="18"/>
              </w:rPr>
              <w:t>380.447,10</w:t>
            </w:r>
          </w:p>
        </w:tc>
        <w:tc>
          <w:tcPr>
            <w:tcW w:w="1860" w:type="dxa"/>
            <w:tcMar>
              <w:top w:w="0" w:type="dxa"/>
              <w:bottom w:w="0" w:type="dxa"/>
            </w:tcMar>
            <w:vAlign w:val="center"/>
          </w:tcPr>
          <w:p w14:paraId="4E900CA9" w14:textId="77777777" w:rsidR="000149DF" w:rsidRDefault="00000000">
            <w:pPr>
              <w:keepNext/>
              <w:keepLines/>
              <w:spacing w:after="0" w:line="240" w:lineRule="auto"/>
              <w:jc w:val="right"/>
            </w:pPr>
            <w:r>
              <w:rPr>
                <w:sz w:val="18"/>
              </w:rPr>
              <w:t>402.907,10</w:t>
            </w:r>
          </w:p>
        </w:tc>
        <w:tc>
          <w:tcPr>
            <w:tcW w:w="700" w:type="dxa"/>
            <w:tcMar>
              <w:top w:w="0" w:type="dxa"/>
              <w:bottom w:w="0" w:type="dxa"/>
            </w:tcMar>
            <w:vAlign w:val="center"/>
          </w:tcPr>
          <w:p w14:paraId="0742997F" w14:textId="77777777" w:rsidR="000149DF" w:rsidRDefault="00000000">
            <w:pPr>
              <w:keepNext/>
              <w:keepLines/>
              <w:spacing w:after="0" w:line="240" w:lineRule="auto"/>
              <w:jc w:val="right"/>
            </w:pPr>
            <w:r>
              <w:rPr>
                <w:sz w:val="18"/>
              </w:rPr>
              <w:t>105,9</w:t>
            </w:r>
          </w:p>
        </w:tc>
      </w:tr>
    </w:tbl>
    <w:p w14:paraId="31D75B42" w14:textId="77777777" w:rsidR="000149DF" w:rsidRDefault="000149DF">
      <w:pPr>
        <w:spacing w:after="0"/>
      </w:pPr>
    </w:p>
    <w:p w14:paraId="2DD4C5C6" w14:textId="77777777" w:rsidR="000149DF" w:rsidRDefault="00000000">
      <w:r>
        <w:t>U 2025. godini nabavljeno je osobno vozilo Toyota Yaris hybrid MC24 1,5 za potrebe upravnih tijela Dubrovačko neretvanske županije u iznosu 22.460,00 €. </w:t>
      </w:r>
    </w:p>
    <w:p w14:paraId="56B40BC1" w14:textId="77777777" w:rsidR="000149DF" w:rsidRDefault="000149DF"/>
    <w:p w14:paraId="5433C840" w14:textId="77777777" w:rsidR="000149DF" w:rsidRDefault="00000000">
      <w:pPr>
        <w:keepNext/>
        <w:spacing w:line="240" w:lineRule="auto"/>
        <w:jc w:val="center"/>
      </w:pPr>
      <w:r>
        <w:rPr>
          <w:sz w:val="28"/>
        </w:rPr>
        <w:t>Bilješka 61.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30A85A0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196109F"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50887A4"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3487D4A"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EFB4A23"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1957FAC8"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5F3C8ADE" w14:textId="77777777" w:rsidR="000149DF" w:rsidRDefault="00000000">
            <w:pPr>
              <w:keepNext/>
              <w:keepLines/>
              <w:spacing w:after="0" w:line="240" w:lineRule="auto"/>
              <w:jc w:val="center"/>
            </w:pPr>
            <w:r>
              <w:rPr>
                <w:b/>
                <w:sz w:val="18"/>
              </w:rPr>
              <w:t>Indeks (%)</w:t>
            </w:r>
          </w:p>
        </w:tc>
      </w:tr>
      <w:tr w:rsidR="000149DF" w14:paraId="03056198" w14:textId="77777777">
        <w:tblPrEx>
          <w:tblCellMar>
            <w:top w:w="0" w:type="dxa"/>
            <w:bottom w:w="0" w:type="dxa"/>
          </w:tblCellMar>
        </w:tblPrEx>
        <w:trPr>
          <w:cantSplit/>
          <w:trHeight w:val="560"/>
        </w:trPr>
        <w:tc>
          <w:tcPr>
            <w:tcW w:w="700" w:type="dxa"/>
            <w:tcMar>
              <w:top w:w="0" w:type="dxa"/>
              <w:bottom w:w="0" w:type="dxa"/>
            </w:tcMar>
            <w:vAlign w:val="center"/>
          </w:tcPr>
          <w:p w14:paraId="459300FB" w14:textId="77777777" w:rsidR="000149DF" w:rsidRDefault="00000000">
            <w:pPr>
              <w:keepNext/>
              <w:keepLines/>
              <w:spacing w:after="0" w:line="240" w:lineRule="auto"/>
            </w:pPr>
            <w:r>
              <w:rPr>
                <w:sz w:val="18"/>
              </w:rPr>
              <w:t>0251</w:t>
            </w:r>
          </w:p>
        </w:tc>
        <w:tc>
          <w:tcPr>
            <w:tcW w:w="3180" w:type="dxa"/>
            <w:tcMar>
              <w:top w:w="0" w:type="dxa"/>
              <w:bottom w:w="0" w:type="dxa"/>
            </w:tcMar>
            <w:vAlign w:val="center"/>
          </w:tcPr>
          <w:p w14:paraId="339984BC" w14:textId="77777777" w:rsidR="000149DF" w:rsidRDefault="00000000">
            <w:pPr>
              <w:keepNext/>
              <w:keepLines/>
              <w:spacing w:after="0" w:line="240" w:lineRule="auto"/>
            </w:pPr>
            <w:r>
              <w:rPr>
                <w:sz w:val="18"/>
              </w:rPr>
              <w:t>Višegodišnji nasadi</w:t>
            </w:r>
          </w:p>
        </w:tc>
        <w:tc>
          <w:tcPr>
            <w:tcW w:w="700" w:type="dxa"/>
            <w:tcMar>
              <w:top w:w="0" w:type="dxa"/>
              <w:bottom w:w="0" w:type="dxa"/>
            </w:tcMar>
            <w:vAlign w:val="center"/>
          </w:tcPr>
          <w:p w14:paraId="2385FB30" w14:textId="77777777" w:rsidR="000149DF" w:rsidRDefault="00000000">
            <w:pPr>
              <w:keepNext/>
              <w:keepLines/>
              <w:spacing w:after="0" w:line="240" w:lineRule="auto"/>
            </w:pPr>
            <w:r>
              <w:rPr>
                <w:sz w:val="18"/>
              </w:rPr>
              <w:t>0251</w:t>
            </w:r>
          </w:p>
        </w:tc>
        <w:tc>
          <w:tcPr>
            <w:tcW w:w="1860" w:type="dxa"/>
            <w:tcMar>
              <w:top w:w="0" w:type="dxa"/>
              <w:bottom w:w="0" w:type="dxa"/>
            </w:tcMar>
            <w:vAlign w:val="center"/>
          </w:tcPr>
          <w:p w14:paraId="66022093" w14:textId="77777777" w:rsidR="000149DF" w:rsidRDefault="00000000">
            <w:pPr>
              <w:keepNext/>
              <w:keepLines/>
              <w:spacing w:after="0" w:line="240" w:lineRule="auto"/>
              <w:jc w:val="right"/>
            </w:pPr>
            <w:r>
              <w:rPr>
                <w:sz w:val="18"/>
              </w:rPr>
              <w:t>0,00</w:t>
            </w:r>
          </w:p>
        </w:tc>
        <w:tc>
          <w:tcPr>
            <w:tcW w:w="1860" w:type="dxa"/>
            <w:tcMar>
              <w:top w:w="0" w:type="dxa"/>
              <w:bottom w:w="0" w:type="dxa"/>
            </w:tcMar>
            <w:vAlign w:val="center"/>
          </w:tcPr>
          <w:p w14:paraId="7AA893D2" w14:textId="77777777" w:rsidR="000149DF" w:rsidRDefault="00000000">
            <w:pPr>
              <w:keepNext/>
              <w:keepLines/>
              <w:spacing w:after="0" w:line="240" w:lineRule="auto"/>
              <w:jc w:val="right"/>
            </w:pPr>
            <w:r>
              <w:rPr>
                <w:sz w:val="18"/>
              </w:rPr>
              <w:t>29.612,50</w:t>
            </w:r>
          </w:p>
        </w:tc>
        <w:tc>
          <w:tcPr>
            <w:tcW w:w="700" w:type="dxa"/>
            <w:tcMar>
              <w:top w:w="0" w:type="dxa"/>
              <w:bottom w:w="0" w:type="dxa"/>
            </w:tcMar>
            <w:vAlign w:val="center"/>
          </w:tcPr>
          <w:p w14:paraId="303BD920" w14:textId="77777777" w:rsidR="000149DF" w:rsidRDefault="00000000">
            <w:pPr>
              <w:keepNext/>
              <w:keepLines/>
              <w:spacing w:after="0" w:line="240" w:lineRule="auto"/>
              <w:jc w:val="right"/>
            </w:pPr>
            <w:r>
              <w:rPr>
                <w:sz w:val="18"/>
              </w:rPr>
              <w:t>-</w:t>
            </w:r>
          </w:p>
        </w:tc>
      </w:tr>
    </w:tbl>
    <w:p w14:paraId="007DA3D8" w14:textId="77777777" w:rsidR="000149DF" w:rsidRDefault="000149DF">
      <w:pPr>
        <w:spacing w:after="0"/>
      </w:pPr>
    </w:p>
    <w:p w14:paraId="6F033B9B" w14:textId="77777777" w:rsidR="000149DF" w:rsidRDefault="00000000">
      <w:r>
        <w:t>Iznos od 29.612,50 odnosi se na nabavu višegodišnjih nasada za uređenja okoliša oko Javne ustanove za upravljanje zaštićenim dijelovima prirode DNŽ.</w:t>
      </w:r>
    </w:p>
    <w:p w14:paraId="6A12AB9A" w14:textId="77777777" w:rsidR="000149DF" w:rsidRDefault="000149DF"/>
    <w:p w14:paraId="694E1B2B" w14:textId="77777777" w:rsidR="000149DF" w:rsidRDefault="00000000">
      <w:pPr>
        <w:keepNext/>
        <w:spacing w:line="240" w:lineRule="auto"/>
        <w:jc w:val="center"/>
      </w:pPr>
      <w:r>
        <w:rPr>
          <w:sz w:val="28"/>
        </w:rPr>
        <w:t>Bilješka 62.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B2BC97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47533DC"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F5366B2"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D97AA88"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E760483"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2097FF04"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021F05BD" w14:textId="77777777" w:rsidR="000149DF" w:rsidRDefault="00000000">
            <w:pPr>
              <w:keepNext/>
              <w:keepLines/>
              <w:spacing w:after="0" w:line="240" w:lineRule="auto"/>
              <w:jc w:val="center"/>
            </w:pPr>
            <w:r>
              <w:rPr>
                <w:b/>
                <w:sz w:val="18"/>
              </w:rPr>
              <w:t>Indeks (%)</w:t>
            </w:r>
          </w:p>
        </w:tc>
      </w:tr>
      <w:tr w:rsidR="000149DF" w14:paraId="66502F74" w14:textId="77777777">
        <w:tblPrEx>
          <w:tblCellMar>
            <w:top w:w="0" w:type="dxa"/>
            <w:bottom w:w="0" w:type="dxa"/>
          </w:tblCellMar>
        </w:tblPrEx>
        <w:trPr>
          <w:cantSplit/>
          <w:trHeight w:val="560"/>
        </w:trPr>
        <w:tc>
          <w:tcPr>
            <w:tcW w:w="700" w:type="dxa"/>
            <w:tcMar>
              <w:top w:w="0" w:type="dxa"/>
              <w:bottom w:w="0" w:type="dxa"/>
            </w:tcMar>
            <w:vAlign w:val="center"/>
          </w:tcPr>
          <w:p w14:paraId="59DE02ED" w14:textId="77777777" w:rsidR="000149DF" w:rsidRDefault="00000000">
            <w:pPr>
              <w:keepNext/>
              <w:keepLines/>
              <w:spacing w:after="0" w:line="240" w:lineRule="auto"/>
            </w:pPr>
            <w:r>
              <w:rPr>
                <w:sz w:val="18"/>
              </w:rPr>
              <w:t>0263</w:t>
            </w:r>
          </w:p>
        </w:tc>
        <w:tc>
          <w:tcPr>
            <w:tcW w:w="3180" w:type="dxa"/>
            <w:tcMar>
              <w:top w:w="0" w:type="dxa"/>
              <w:bottom w:w="0" w:type="dxa"/>
            </w:tcMar>
            <w:vAlign w:val="center"/>
          </w:tcPr>
          <w:p w14:paraId="35231D55" w14:textId="77777777" w:rsidR="000149DF" w:rsidRDefault="00000000">
            <w:pPr>
              <w:keepNext/>
              <w:keepLines/>
              <w:spacing w:after="0" w:line="240" w:lineRule="auto"/>
            </w:pPr>
            <w:r>
              <w:rPr>
                <w:sz w:val="18"/>
              </w:rPr>
              <w:t>Umjetnička, literarna i znanstvena djela</w:t>
            </w:r>
          </w:p>
        </w:tc>
        <w:tc>
          <w:tcPr>
            <w:tcW w:w="700" w:type="dxa"/>
            <w:tcMar>
              <w:top w:w="0" w:type="dxa"/>
              <w:bottom w:w="0" w:type="dxa"/>
            </w:tcMar>
            <w:vAlign w:val="center"/>
          </w:tcPr>
          <w:p w14:paraId="1F291A8D" w14:textId="77777777" w:rsidR="000149DF" w:rsidRDefault="00000000">
            <w:pPr>
              <w:keepNext/>
              <w:keepLines/>
              <w:spacing w:after="0" w:line="240" w:lineRule="auto"/>
            </w:pPr>
            <w:r>
              <w:rPr>
                <w:sz w:val="18"/>
              </w:rPr>
              <w:t>0263</w:t>
            </w:r>
          </w:p>
        </w:tc>
        <w:tc>
          <w:tcPr>
            <w:tcW w:w="1860" w:type="dxa"/>
            <w:tcMar>
              <w:top w:w="0" w:type="dxa"/>
              <w:bottom w:w="0" w:type="dxa"/>
            </w:tcMar>
            <w:vAlign w:val="center"/>
          </w:tcPr>
          <w:p w14:paraId="06EC5071" w14:textId="77777777" w:rsidR="000149DF" w:rsidRDefault="00000000">
            <w:pPr>
              <w:keepNext/>
              <w:keepLines/>
              <w:spacing w:after="0" w:line="240" w:lineRule="auto"/>
              <w:jc w:val="right"/>
            </w:pPr>
            <w:r>
              <w:rPr>
                <w:sz w:val="18"/>
              </w:rPr>
              <w:t>211.514,03</w:t>
            </w:r>
          </w:p>
        </w:tc>
        <w:tc>
          <w:tcPr>
            <w:tcW w:w="1860" w:type="dxa"/>
            <w:tcMar>
              <w:top w:w="0" w:type="dxa"/>
              <w:bottom w:w="0" w:type="dxa"/>
            </w:tcMar>
            <w:vAlign w:val="center"/>
          </w:tcPr>
          <w:p w14:paraId="32D6C1E3" w14:textId="77777777" w:rsidR="000149DF" w:rsidRDefault="00000000">
            <w:pPr>
              <w:keepNext/>
              <w:keepLines/>
              <w:spacing w:after="0" w:line="240" w:lineRule="auto"/>
              <w:jc w:val="right"/>
            </w:pPr>
            <w:r>
              <w:rPr>
                <w:sz w:val="18"/>
              </w:rPr>
              <w:t>182.398,41</w:t>
            </w:r>
          </w:p>
        </w:tc>
        <w:tc>
          <w:tcPr>
            <w:tcW w:w="700" w:type="dxa"/>
            <w:tcMar>
              <w:top w:w="0" w:type="dxa"/>
              <w:bottom w:w="0" w:type="dxa"/>
            </w:tcMar>
            <w:vAlign w:val="center"/>
          </w:tcPr>
          <w:p w14:paraId="73D8FC33" w14:textId="77777777" w:rsidR="000149DF" w:rsidRDefault="00000000">
            <w:pPr>
              <w:keepNext/>
              <w:keepLines/>
              <w:spacing w:after="0" w:line="240" w:lineRule="auto"/>
              <w:jc w:val="right"/>
            </w:pPr>
            <w:r>
              <w:rPr>
                <w:sz w:val="18"/>
              </w:rPr>
              <w:t>86,2</w:t>
            </w:r>
          </w:p>
        </w:tc>
      </w:tr>
    </w:tbl>
    <w:p w14:paraId="2D3969F5" w14:textId="77777777" w:rsidR="000149DF" w:rsidRDefault="000149DF">
      <w:pPr>
        <w:spacing w:after="0"/>
      </w:pPr>
    </w:p>
    <w:p w14:paraId="0EA2964D" w14:textId="77777777" w:rsidR="000149DF" w:rsidRDefault="00000000">
      <w:r>
        <w:t>Smanjenje se odnosi na isknjiženje znanstvenih radova i dokumentacije u iznosu od 29.115,62 €.</w:t>
      </w:r>
    </w:p>
    <w:p w14:paraId="0E6CC797" w14:textId="77777777" w:rsidR="000149DF" w:rsidRDefault="000149DF"/>
    <w:p w14:paraId="7E31A77F" w14:textId="77777777" w:rsidR="000149DF" w:rsidRDefault="00000000">
      <w:pPr>
        <w:keepNext/>
        <w:spacing w:line="240" w:lineRule="auto"/>
        <w:jc w:val="center"/>
      </w:pPr>
      <w:r>
        <w:rPr>
          <w:sz w:val="28"/>
        </w:rPr>
        <w:t>Bilješka 63.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9C05DE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1F3A374"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AD27DC6"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82FC63B"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BD4B334"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9EBAFB3"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41C04FC0" w14:textId="77777777" w:rsidR="000149DF" w:rsidRDefault="00000000">
            <w:pPr>
              <w:keepNext/>
              <w:keepLines/>
              <w:spacing w:after="0" w:line="240" w:lineRule="auto"/>
              <w:jc w:val="center"/>
            </w:pPr>
            <w:r>
              <w:rPr>
                <w:b/>
                <w:sz w:val="18"/>
              </w:rPr>
              <w:t>Indeks (%)</w:t>
            </w:r>
          </w:p>
        </w:tc>
      </w:tr>
      <w:tr w:rsidR="000149DF" w14:paraId="40F28C2E" w14:textId="77777777">
        <w:tblPrEx>
          <w:tblCellMar>
            <w:top w:w="0" w:type="dxa"/>
            <w:bottom w:w="0" w:type="dxa"/>
          </w:tblCellMar>
        </w:tblPrEx>
        <w:trPr>
          <w:cantSplit/>
          <w:trHeight w:val="560"/>
        </w:trPr>
        <w:tc>
          <w:tcPr>
            <w:tcW w:w="700" w:type="dxa"/>
            <w:tcMar>
              <w:top w:w="0" w:type="dxa"/>
              <w:bottom w:w="0" w:type="dxa"/>
            </w:tcMar>
            <w:vAlign w:val="center"/>
          </w:tcPr>
          <w:p w14:paraId="33DF4900" w14:textId="77777777" w:rsidR="000149DF" w:rsidRDefault="00000000">
            <w:pPr>
              <w:keepNext/>
              <w:keepLines/>
              <w:spacing w:after="0" w:line="240" w:lineRule="auto"/>
            </w:pPr>
            <w:r>
              <w:rPr>
                <w:sz w:val="18"/>
              </w:rPr>
              <w:t>0264</w:t>
            </w:r>
          </w:p>
        </w:tc>
        <w:tc>
          <w:tcPr>
            <w:tcW w:w="3180" w:type="dxa"/>
            <w:tcMar>
              <w:top w:w="0" w:type="dxa"/>
              <w:bottom w:w="0" w:type="dxa"/>
            </w:tcMar>
            <w:vAlign w:val="center"/>
          </w:tcPr>
          <w:p w14:paraId="180055ED" w14:textId="77777777" w:rsidR="000149DF" w:rsidRDefault="00000000">
            <w:pPr>
              <w:keepNext/>
              <w:keepLines/>
              <w:spacing w:after="0" w:line="240" w:lineRule="auto"/>
            </w:pPr>
            <w:r>
              <w:rPr>
                <w:sz w:val="18"/>
              </w:rPr>
              <w:t>Ostala nematerijalna proizvedena imovina</w:t>
            </w:r>
          </w:p>
        </w:tc>
        <w:tc>
          <w:tcPr>
            <w:tcW w:w="700" w:type="dxa"/>
            <w:tcMar>
              <w:top w:w="0" w:type="dxa"/>
              <w:bottom w:w="0" w:type="dxa"/>
            </w:tcMar>
            <w:vAlign w:val="center"/>
          </w:tcPr>
          <w:p w14:paraId="5FED1F2A" w14:textId="77777777" w:rsidR="000149DF" w:rsidRDefault="00000000">
            <w:pPr>
              <w:keepNext/>
              <w:keepLines/>
              <w:spacing w:after="0" w:line="240" w:lineRule="auto"/>
            </w:pPr>
            <w:r>
              <w:rPr>
                <w:sz w:val="18"/>
              </w:rPr>
              <w:t>0264</w:t>
            </w:r>
          </w:p>
        </w:tc>
        <w:tc>
          <w:tcPr>
            <w:tcW w:w="1860" w:type="dxa"/>
            <w:tcMar>
              <w:top w:w="0" w:type="dxa"/>
              <w:bottom w:w="0" w:type="dxa"/>
            </w:tcMar>
            <w:vAlign w:val="center"/>
          </w:tcPr>
          <w:p w14:paraId="26D185B2" w14:textId="77777777" w:rsidR="000149DF" w:rsidRDefault="00000000">
            <w:pPr>
              <w:keepNext/>
              <w:keepLines/>
              <w:spacing w:after="0" w:line="240" w:lineRule="auto"/>
              <w:jc w:val="right"/>
            </w:pPr>
            <w:r>
              <w:rPr>
                <w:sz w:val="18"/>
              </w:rPr>
              <w:t>1.957.201,51</w:t>
            </w:r>
          </w:p>
        </w:tc>
        <w:tc>
          <w:tcPr>
            <w:tcW w:w="1860" w:type="dxa"/>
            <w:tcMar>
              <w:top w:w="0" w:type="dxa"/>
              <w:bottom w:w="0" w:type="dxa"/>
            </w:tcMar>
            <w:vAlign w:val="center"/>
          </w:tcPr>
          <w:p w14:paraId="4F02C5AB" w14:textId="77777777" w:rsidR="000149DF" w:rsidRDefault="00000000">
            <w:pPr>
              <w:keepNext/>
              <w:keepLines/>
              <w:spacing w:after="0" w:line="240" w:lineRule="auto"/>
              <w:jc w:val="right"/>
            </w:pPr>
            <w:r>
              <w:rPr>
                <w:sz w:val="18"/>
              </w:rPr>
              <w:t>2.132.348,99</w:t>
            </w:r>
          </w:p>
        </w:tc>
        <w:tc>
          <w:tcPr>
            <w:tcW w:w="700" w:type="dxa"/>
            <w:tcMar>
              <w:top w:w="0" w:type="dxa"/>
              <w:bottom w:w="0" w:type="dxa"/>
            </w:tcMar>
            <w:vAlign w:val="center"/>
          </w:tcPr>
          <w:p w14:paraId="38662051" w14:textId="77777777" w:rsidR="000149DF" w:rsidRDefault="00000000">
            <w:pPr>
              <w:keepNext/>
              <w:keepLines/>
              <w:spacing w:after="0" w:line="240" w:lineRule="auto"/>
              <w:jc w:val="right"/>
            </w:pPr>
            <w:r>
              <w:rPr>
                <w:sz w:val="18"/>
              </w:rPr>
              <w:t>108,9</w:t>
            </w:r>
          </w:p>
        </w:tc>
      </w:tr>
    </w:tbl>
    <w:p w14:paraId="33F8A8DD" w14:textId="77777777" w:rsidR="000149DF" w:rsidRDefault="000149DF">
      <w:pPr>
        <w:spacing w:after="0"/>
      </w:pPr>
    </w:p>
    <w:p w14:paraId="6572EC31" w14:textId="77777777" w:rsidR="000149DF" w:rsidRDefault="00000000">
      <w:r>
        <w:t>Razlika od 175.147,48 € u odnosu na početno stanje rezultat je:</w:t>
      </w:r>
    </w:p>
    <w:p w14:paraId="04DBFFB4" w14:textId="77777777" w:rsidR="000149DF" w:rsidRDefault="00000000">
      <w:pPr>
        <w:pStyle w:val="ListParagraph"/>
        <w:numPr>
          <w:ilvl w:val="0"/>
          <w:numId w:val="1"/>
        </w:numPr>
      </w:pPr>
      <w:r>
        <w:t>Isknjiženja ostale nematerijalne proizvedene imovine u iznosu od 36.530,59 €</w:t>
      </w:r>
    </w:p>
    <w:p w14:paraId="06ED3F16" w14:textId="77777777" w:rsidR="000149DF" w:rsidRDefault="00000000">
      <w:pPr>
        <w:pStyle w:val="ListParagraph"/>
        <w:numPr>
          <w:ilvl w:val="0"/>
          <w:numId w:val="1"/>
        </w:numPr>
      </w:pPr>
      <w:r>
        <w:t>Isknjiženja geoloških i hidrogeoloških istr. Radova  u iznosu od 58.259,47 €</w:t>
      </w:r>
    </w:p>
    <w:p w14:paraId="5699E64A" w14:textId="77777777" w:rsidR="000149DF" w:rsidRDefault="00000000">
      <w:pPr>
        <w:pStyle w:val="ListParagraph"/>
        <w:numPr>
          <w:ilvl w:val="0"/>
          <w:numId w:val="1"/>
        </w:numPr>
      </w:pPr>
      <w:r>
        <w:t>Izrade strategije upravljanja imovinom DNŽ u iznosu od 10.125,00 €</w:t>
      </w:r>
    </w:p>
    <w:p w14:paraId="692480AB" w14:textId="77777777" w:rsidR="000149DF" w:rsidRDefault="00000000">
      <w:pPr>
        <w:pStyle w:val="ListParagraph"/>
        <w:numPr>
          <w:ilvl w:val="0"/>
          <w:numId w:val="1"/>
        </w:numPr>
      </w:pPr>
      <w:r>
        <w:t>Prijenosa iz pripreme u upotrebu glavnog projekta izgradnje sustava navodnjavanja Čarsko polje u iznosu od 213.437,54 €</w:t>
      </w:r>
    </w:p>
    <w:p w14:paraId="38690D84" w14:textId="77777777" w:rsidR="000149DF" w:rsidRDefault="00000000">
      <w:pPr>
        <w:pStyle w:val="ListParagraph"/>
        <w:numPr>
          <w:ilvl w:val="0"/>
          <w:numId w:val="1"/>
        </w:numPr>
      </w:pPr>
      <w:r>
        <w:t>Prijenosa imovine iz pripreme u upotrebu Strateške studije utjecaja na okoliš u iznosu od 22.750,00 €</w:t>
      </w:r>
    </w:p>
    <w:p w14:paraId="31386249" w14:textId="77777777" w:rsidR="000149DF" w:rsidRDefault="00000000">
      <w:pPr>
        <w:pStyle w:val="ListParagraph"/>
        <w:numPr>
          <w:ilvl w:val="0"/>
          <w:numId w:val="1"/>
        </w:numPr>
      </w:pPr>
      <w:r>
        <w:t>Prijenosa imovine iz pripreme u upotrebu Plan gospodarenja opadom u iznosu od 23.625,00 €.</w:t>
      </w:r>
    </w:p>
    <w:p w14:paraId="5B1F627C" w14:textId="77777777" w:rsidR="000149DF" w:rsidRDefault="000149DF"/>
    <w:p w14:paraId="5E121253" w14:textId="77777777" w:rsidR="000149DF" w:rsidRDefault="00000000">
      <w:pPr>
        <w:keepNext/>
        <w:spacing w:line="240" w:lineRule="auto"/>
        <w:jc w:val="center"/>
      </w:pPr>
      <w:r>
        <w:rPr>
          <w:sz w:val="28"/>
        </w:rPr>
        <w:t>Bilješka 64.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700E8B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655EDD7"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9923C54"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A2139A8"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7ADC563"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707A3B42"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1C403A15" w14:textId="77777777" w:rsidR="000149DF" w:rsidRDefault="00000000">
            <w:pPr>
              <w:keepNext/>
              <w:keepLines/>
              <w:spacing w:after="0" w:line="240" w:lineRule="auto"/>
              <w:jc w:val="center"/>
            </w:pPr>
            <w:r>
              <w:rPr>
                <w:b/>
                <w:sz w:val="18"/>
              </w:rPr>
              <w:t>Indeks (%)</w:t>
            </w:r>
          </w:p>
        </w:tc>
      </w:tr>
      <w:tr w:rsidR="000149DF" w14:paraId="141B2E16" w14:textId="77777777">
        <w:tblPrEx>
          <w:tblCellMar>
            <w:top w:w="0" w:type="dxa"/>
            <w:bottom w:w="0" w:type="dxa"/>
          </w:tblCellMar>
        </w:tblPrEx>
        <w:trPr>
          <w:cantSplit/>
          <w:trHeight w:val="560"/>
        </w:trPr>
        <w:tc>
          <w:tcPr>
            <w:tcW w:w="700" w:type="dxa"/>
            <w:tcMar>
              <w:top w:w="0" w:type="dxa"/>
              <w:bottom w:w="0" w:type="dxa"/>
            </w:tcMar>
            <w:vAlign w:val="center"/>
          </w:tcPr>
          <w:p w14:paraId="28EC409F" w14:textId="77777777" w:rsidR="000149DF" w:rsidRDefault="00000000">
            <w:pPr>
              <w:keepNext/>
              <w:keepLines/>
              <w:spacing w:after="0" w:line="240" w:lineRule="auto"/>
            </w:pPr>
            <w:r>
              <w:rPr>
                <w:sz w:val="18"/>
              </w:rPr>
              <w:t>05</w:t>
            </w:r>
          </w:p>
        </w:tc>
        <w:tc>
          <w:tcPr>
            <w:tcW w:w="3180" w:type="dxa"/>
            <w:tcMar>
              <w:top w:w="0" w:type="dxa"/>
              <w:bottom w:w="0" w:type="dxa"/>
            </w:tcMar>
            <w:vAlign w:val="center"/>
          </w:tcPr>
          <w:p w14:paraId="0A77D793" w14:textId="77777777" w:rsidR="000149DF" w:rsidRDefault="00000000">
            <w:pPr>
              <w:keepNext/>
              <w:keepLines/>
              <w:spacing w:after="0" w:line="240" w:lineRule="auto"/>
            </w:pPr>
            <w:r>
              <w:rPr>
                <w:sz w:val="18"/>
              </w:rPr>
              <w:t>Dugotrajna nefinancijska imovina u pripremi (šifre 051 do 056)</w:t>
            </w:r>
          </w:p>
        </w:tc>
        <w:tc>
          <w:tcPr>
            <w:tcW w:w="700" w:type="dxa"/>
            <w:tcMar>
              <w:top w:w="0" w:type="dxa"/>
              <w:bottom w:w="0" w:type="dxa"/>
            </w:tcMar>
            <w:vAlign w:val="center"/>
          </w:tcPr>
          <w:p w14:paraId="3295E4A4" w14:textId="77777777" w:rsidR="000149DF" w:rsidRDefault="00000000">
            <w:pPr>
              <w:keepNext/>
              <w:keepLines/>
              <w:spacing w:after="0" w:line="240" w:lineRule="auto"/>
            </w:pPr>
            <w:r>
              <w:rPr>
                <w:sz w:val="18"/>
              </w:rPr>
              <w:t>05</w:t>
            </w:r>
          </w:p>
        </w:tc>
        <w:tc>
          <w:tcPr>
            <w:tcW w:w="1860" w:type="dxa"/>
            <w:tcMar>
              <w:top w:w="0" w:type="dxa"/>
              <w:bottom w:w="0" w:type="dxa"/>
            </w:tcMar>
            <w:vAlign w:val="center"/>
          </w:tcPr>
          <w:p w14:paraId="3B7130EF" w14:textId="77777777" w:rsidR="000149DF" w:rsidRDefault="00000000">
            <w:pPr>
              <w:keepNext/>
              <w:keepLines/>
              <w:spacing w:after="0" w:line="240" w:lineRule="auto"/>
              <w:jc w:val="right"/>
            </w:pPr>
            <w:r>
              <w:rPr>
                <w:sz w:val="18"/>
              </w:rPr>
              <w:t>2.401.902,41</w:t>
            </w:r>
          </w:p>
        </w:tc>
        <w:tc>
          <w:tcPr>
            <w:tcW w:w="1860" w:type="dxa"/>
            <w:tcMar>
              <w:top w:w="0" w:type="dxa"/>
              <w:bottom w:w="0" w:type="dxa"/>
            </w:tcMar>
            <w:vAlign w:val="center"/>
          </w:tcPr>
          <w:p w14:paraId="006F1400" w14:textId="77777777" w:rsidR="000149DF" w:rsidRDefault="00000000">
            <w:pPr>
              <w:keepNext/>
              <w:keepLines/>
              <w:spacing w:after="0" w:line="240" w:lineRule="auto"/>
              <w:jc w:val="right"/>
            </w:pPr>
            <w:r>
              <w:rPr>
                <w:sz w:val="18"/>
              </w:rPr>
              <w:t>3.227.837,30</w:t>
            </w:r>
          </w:p>
        </w:tc>
        <w:tc>
          <w:tcPr>
            <w:tcW w:w="700" w:type="dxa"/>
            <w:tcMar>
              <w:top w:w="0" w:type="dxa"/>
              <w:bottom w:w="0" w:type="dxa"/>
            </w:tcMar>
            <w:vAlign w:val="center"/>
          </w:tcPr>
          <w:p w14:paraId="405EE8F1" w14:textId="77777777" w:rsidR="000149DF" w:rsidRDefault="00000000">
            <w:pPr>
              <w:keepNext/>
              <w:keepLines/>
              <w:spacing w:after="0" w:line="240" w:lineRule="auto"/>
              <w:jc w:val="right"/>
            </w:pPr>
            <w:r>
              <w:rPr>
                <w:sz w:val="18"/>
              </w:rPr>
              <w:t>134,4</w:t>
            </w:r>
          </w:p>
        </w:tc>
      </w:tr>
    </w:tbl>
    <w:p w14:paraId="71C3BA56" w14:textId="77777777" w:rsidR="000149DF" w:rsidRDefault="000149DF">
      <w:pPr>
        <w:spacing w:after="0"/>
      </w:pPr>
    </w:p>
    <w:p w14:paraId="7CD065DB" w14:textId="77777777" w:rsidR="000149DF" w:rsidRDefault="00000000">
      <w:r>
        <w:t>Dugotrajna nefinancijska imovina u pripremi  veća je za 34,4% u odnosu na početno stanje, a to povećanje najvećim dijelom se odnosi na ulaganja po:</w:t>
      </w:r>
    </w:p>
    <w:p w14:paraId="61E0830F" w14:textId="77777777" w:rsidR="000149DF" w:rsidRDefault="00000000">
      <w:pPr>
        <w:pStyle w:val="ListParagraph"/>
        <w:numPr>
          <w:ilvl w:val="0"/>
          <w:numId w:val="1"/>
        </w:numPr>
      </w:pPr>
      <w:r>
        <w:t>EU projektu Active - izgradnja sportske dvorane pri OŠ Ston i sportskih igrališta na Korčuli, Lastovu i Pelješcu,</w:t>
      </w:r>
    </w:p>
    <w:p w14:paraId="7D10C411" w14:textId="77777777" w:rsidR="000149DF" w:rsidRDefault="00000000">
      <w:pPr>
        <w:pStyle w:val="ListParagraph"/>
        <w:numPr>
          <w:ilvl w:val="0"/>
          <w:numId w:val="1"/>
        </w:numPr>
      </w:pPr>
      <w:r>
        <w:t>EU projektu Izgradnja OŠ Cavtat, </w:t>
      </w:r>
    </w:p>
    <w:p w14:paraId="073EB66B" w14:textId="77777777" w:rsidR="000149DF" w:rsidRDefault="00000000">
      <w:pPr>
        <w:pStyle w:val="ListParagraph"/>
        <w:numPr>
          <w:ilvl w:val="0"/>
          <w:numId w:val="1"/>
        </w:numPr>
      </w:pPr>
      <w:r>
        <w:t>EU projektu Rekonstrukcija Gimnazije Metković,</w:t>
      </w:r>
    </w:p>
    <w:p w14:paraId="0BE8CC44" w14:textId="77777777" w:rsidR="000149DF" w:rsidRDefault="00000000">
      <w:pPr>
        <w:pStyle w:val="ListParagraph"/>
        <w:numPr>
          <w:ilvl w:val="0"/>
          <w:numId w:val="1"/>
        </w:numPr>
      </w:pPr>
      <w:r>
        <w:t>Projektu Centar aktivnog turizma Vidonje, </w:t>
      </w:r>
    </w:p>
    <w:p w14:paraId="7CF0F250" w14:textId="77777777" w:rsidR="000149DF" w:rsidRDefault="00000000">
      <w:pPr>
        <w:pStyle w:val="ListParagraph"/>
        <w:numPr>
          <w:ilvl w:val="0"/>
          <w:numId w:val="1"/>
        </w:numPr>
      </w:pPr>
      <w:r>
        <w:t>EU projektu Inkluzivni centar Korčula</w:t>
      </w:r>
    </w:p>
    <w:p w14:paraId="428CEE4F" w14:textId="77777777" w:rsidR="000149DF" w:rsidRDefault="000149DF"/>
    <w:p w14:paraId="339F214B" w14:textId="77777777" w:rsidR="000149DF" w:rsidRDefault="00000000">
      <w:pPr>
        <w:keepNext/>
        <w:spacing w:line="240" w:lineRule="auto"/>
        <w:jc w:val="center"/>
      </w:pPr>
      <w:r>
        <w:rPr>
          <w:sz w:val="28"/>
        </w:rPr>
        <w:t>Bilješka 65.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5AC97C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ACD16DB"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8F2BCE1"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344DE2E"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40C4768"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61C1934"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5EFFC81B" w14:textId="77777777" w:rsidR="000149DF" w:rsidRDefault="00000000">
            <w:pPr>
              <w:keepNext/>
              <w:keepLines/>
              <w:spacing w:after="0" w:line="240" w:lineRule="auto"/>
              <w:jc w:val="center"/>
            </w:pPr>
            <w:r>
              <w:rPr>
                <w:b/>
                <w:sz w:val="18"/>
              </w:rPr>
              <w:t>Indeks (%)</w:t>
            </w:r>
          </w:p>
        </w:tc>
      </w:tr>
      <w:tr w:rsidR="000149DF" w14:paraId="5F1236A4" w14:textId="77777777">
        <w:tblPrEx>
          <w:tblCellMar>
            <w:top w:w="0" w:type="dxa"/>
            <w:bottom w:w="0" w:type="dxa"/>
          </w:tblCellMar>
        </w:tblPrEx>
        <w:trPr>
          <w:cantSplit/>
          <w:trHeight w:val="560"/>
        </w:trPr>
        <w:tc>
          <w:tcPr>
            <w:tcW w:w="700" w:type="dxa"/>
            <w:tcMar>
              <w:top w:w="0" w:type="dxa"/>
              <w:bottom w:w="0" w:type="dxa"/>
            </w:tcMar>
            <w:vAlign w:val="center"/>
          </w:tcPr>
          <w:p w14:paraId="1946F985" w14:textId="77777777" w:rsidR="000149DF" w:rsidRDefault="00000000">
            <w:pPr>
              <w:keepNext/>
              <w:keepLines/>
              <w:spacing w:after="0" w:line="240" w:lineRule="auto"/>
            </w:pPr>
            <w:r>
              <w:rPr>
                <w:sz w:val="18"/>
              </w:rPr>
              <w:t>054</w:t>
            </w:r>
          </w:p>
        </w:tc>
        <w:tc>
          <w:tcPr>
            <w:tcW w:w="3180" w:type="dxa"/>
            <w:tcMar>
              <w:top w:w="0" w:type="dxa"/>
              <w:bottom w:w="0" w:type="dxa"/>
            </w:tcMar>
            <w:vAlign w:val="center"/>
          </w:tcPr>
          <w:p w14:paraId="52DF2973" w14:textId="77777777" w:rsidR="000149DF" w:rsidRDefault="00000000">
            <w:pPr>
              <w:keepNext/>
              <w:keepLines/>
              <w:spacing w:after="0" w:line="240" w:lineRule="auto"/>
            </w:pPr>
            <w:r>
              <w:rPr>
                <w:sz w:val="18"/>
              </w:rPr>
              <w:t>Višegodišnji nasadi i osnovno stado u pripremi</w:t>
            </w:r>
          </w:p>
        </w:tc>
        <w:tc>
          <w:tcPr>
            <w:tcW w:w="700" w:type="dxa"/>
            <w:tcMar>
              <w:top w:w="0" w:type="dxa"/>
              <w:bottom w:w="0" w:type="dxa"/>
            </w:tcMar>
            <w:vAlign w:val="center"/>
          </w:tcPr>
          <w:p w14:paraId="5645FB37" w14:textId="77777777" w:rsidR="000149DF" w:rsidRDefault="00000000">
            <w:pPr>
              <w:keepNext/>
              <w:keepLines/>
              <w:spacing w:after="0" w:line="240" w:lineRule="auto"/>
            </w:pPr>
            <w:r>
              <w:rPr>
                <w:sz w:val="18"/>
              </w:rPr>
              <w:t>054</w:t>
            </w:r>
          </w:p>
        </w:tc>
        <w:tc>
          <w:tcPr>
            <w:tcW w:w="1860" w:type="dxa"/>
            <w:tcMar>
              <w:top w:w="0" w:type="dxa"/>
              <w:bottom w:w="0" w:type="dxa"/>
            </w:tcMar>
            <w:vAlign w:val="center"/>
          </w:tcPr>
          <w:p w14:paraId="55C35009" w14:textId="77777777" w:rsidR="000149DF" w:rsidRDefault="00000000">
            <w:pPr>
              <w:keepNext/>
              <w:keepLines/>
              <w:spacing w:after="0" w:line="240" w:lineRule="auto"/>
              <w:jc w:val="right"/>
            </w:pPr>
            <w:r>
              <w:rPr>
                <w:sz w:val="18"/>
              </w:rPr>
              <w:t>0,00</w:t>
            </w:r>
          </w:p>
        </w:tc>
        <w:tc>
          <w:tcPr>
            <w:tcW w:w="1860" w:type="dxa"/>
            <w:tcMar>
              <w:top w:w="0" w:type="dxa"/>
              <w:bottom w:w="0" w:type="dxa"/>
            </w:tcMar>
            <w:vAlign w:val="center"/>
          </w:tcPr>
          <w:p w14:paraId="40E2480E" w14:textId="77777777" w:rsidR="000149DF" w:rsidRDefault="00000000">
            <w:pPr>
              <w:keepNext/>
              <w:keepLines/>
              <w:spacing w:after="0" w:line="240" w:lineRule="auto"/>
              <w:jc w:val="right"/>
            </w:pPr>
            <w:r>
              <w:rPr>
                <w:sz w:val="18"/>
              </w:rPr>
              <w:t>60.459,05</w:t>
            </w:r>
          </w:p>
        </w:tc>
        <w:tc>
          <w:tcPr>
            <w:tcW w:w="700" w:type="dxa"/>
            <w:tcMar>
              <w:top w:w="0" w:type="dxa"/>
              <w:bottom w:w="0" w:type="dxa"/>
            </w:tcMar>
            <w:vAlign w:val="center"/>
          </w:tcPr>
          <w:p w14:paraId="43F3124F" w14:textId="77777777" w:rsidR="000149DF" w:rsidRDefault="00000000">
            <w:pPr>
              <w:keepNext/>
              <w:keepLines/>
              <w:spacing w:after="0" w:line="240" w:lineRule="auto"/>
              <w:jc w:val="right"/>
            </w:pPr>
            <w:r>
              <w:rPr>
                <w:sz w:val="18"/>
              </w:rPr>
              <w:t>-</w:t>
            </w:r>
          </w:p>
        </w:tc>
      </w:tr>
    </w:tbl>
    <w:p w14:paraId="58C71887" w14:textId="77777777" w:rsidR="000149DF" w:rsidRDefault="000149DF">
      <w:pPr>
        <w:spacing w:after="0"/>
      </w:pPr>
    </w:p>
    <w:p w14:paraId="6904E2E9" w14:textId="77777777" w:rsidR="000149DF" w:rsidRDefault="00000000">
      <w:r>
        <w:t>Iznos od 60.459,05 € odnosi se na kupnju višegodišnjih nasada po projektu Ozelenjavanje javnih površina u Općini Dubrovačko primorje.</w:t>
      </w:r>
    </w:p>
    <w:p w14:paraId="7B81E5C0" w14:textId="77777777" w:rsidR="000149DF" w:rsidRDefault="000149DF"/>
    <w:p w14:paraId="4157E02D" w14:textId="77777777" w:rsidR="000149DF" w:rsidRDefault="00000000">
      <w:pPr>
        <w:keepNext/>
        <w:spacing w:line="240" w:lineRule="auto"/>
        <w:jc w:val="center"/>
      </w:pPr>
      <w:r>
        <w:rPr>
          <w:sz w:val="28"/>
        </w:rPr>
        <w:lastRenderedPageBreak/>
        <w:t>Bilješka 66.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41D422F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33FE7B3"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5A8B790"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496DA9D"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A4DA7EE"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03028B5"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2967A06" w14:textId="77777777" w:rsidR="000149DF" w:rsidRDefault="00000000">
            <w:pPr>
              <w:keepNext/>
              <w:keepLines/>
              <w:spacing w:after="0" w:line="240" w:lineRule="auto"/>
              <w:jc w:val="center"/>
            </w:pPr>
            <w:r>
              <w:rPr>
                <w:b/>
                <w:sz w:val="18"/>
              </w:rPr>
              <w:t>Indeks (%)</w:t>
            </w:r>
          </w:p>
        </w:tc>
      </w:tr>
      <w:tr w:rsidR="000149DF" w14:paraId="3D0C59F7" w14:textId="77777777">
        <w:tblPrEx>
          <w:tblCellMar>
            <w:top w:w="0" w:type="dxa"/>
            <w:bottom w:w="0" w:type="dxa"/>
          </w:tblCellMar>
        </w:tblPrEx>
        <w:trPr>
          <w:cantSplit/>
          <w:trHeight w:val="560"/>
        </w:trPr>
        <w:tc>
          <w:tcPr>
            <w:tcW w:w="700" w:type="dxa"/>
            <w:tcMar>
              <w:top w:w="0" w:type="dxa"/>
              <w:bottom w:w="0" w:type="dxa"/>
            </w:tcMar>
            <w:vAlign w:val="center"/>
          </w:tcPr>
          <w:p w14:paraId="024DBE44" w14:textId="77777777" w:rsidR="000149DF" w:rsidRDefault="00000000">
            <w:pPr>
              <w:keepNext/>
              <w:keepLines/>
              <w:spacing w:after="0" w:line="240" w:lineRule="auto"/>
            </w:pPr>
            <w:r>
              <w:rPr>
                <w:sz w:val="18"/>
              </w:rPr>
              <w:t>1</w:t>
            </w:r>
          </w:p>
        </w:tc>
        <w:tc>
          <w:tcPr>
            <w:tcW w:w="3180" w:type="dxa"/>
            <w:tcMar>
              <w:top w:w="0" w:type="dxa"/>
              <w:bottom w:w="0" w:type="dxa"/>
            </w:tcMar>
            <w:vAlign w:val="center"/>
          </w:tcPr>
          <w:p w14:paraId="7B88DF16" w14:textId="77777777" w:rsidR="000149DF" w:rsidRDefault="00000000">
            <w:pPr>
              <w:keepNext/>
              <w:keepLines/>
              <w:spacing w:after="0" w:line="240" w:lineRule="auto"/>
            </w:pPr>
            <w:r>
              <w:rPr>
                <w:sz w:val="18"/>
              </w:rPr>
              <w:t>Financijska imovina (šifre 11+12+13+14+15+16+17+19)</w:t>
            </w:r>
          </w:p>
        </w:tc>
        <w:tc>
          <w:tcPr>
            <w:tcW w:w="700" w:type="dxa"/>
            <w:tcMar>
              <w:top w:w="0" w:type="dxa"/>
              <w:bottom w:w="0" w:type="dxa"/>
            </w:tcMar>
            <w:vAlign w:val="center"/>
          </w:tcPr>
          <w:p w14:paraId="4CE34B86" w14:textId="77777777" w:rsidR="000149DF" w:rsidRDefault="00000000">
            <w:pPr>
              <w:keepNext/>
              <w:keepLines/>
              <w:spacing w:after="0" w:line="240" w:lineRule="auto"/>
            </w:pPr>
            <w:r>
              <w:rPr>
                <w:sz w:val="18"/>
              </w:rPr>
              <w:t>1</w:t>
            </w:r>
          </w:p>
        </w:tc>
        <w:tc>
          <w:tcPr>
            <w:tcW w:w="1860" w:type="dxa"/>
            <w:tcMar>
              <w:top w:w="0" w:type="dxa"/>
              <w:bottom w:w="0" w:type="dxa"/>
            </w:tcMar>
            <w:vAlign w:val="center"/>
          </w:tcPr>
          <w:p w14:paraId="46D54040" w14:textId="77777777" w:rsidR="000149DF" w:rsidRDefault="00000000">
            <w:pPr>
              <w:keepNext/>
              <w:keepLines/>
              <w:spacing w:after="0" w:line="240" w:lineRule="auto"/>
              <w:jc w:val="right"/>
            </w:pPr>
            <w:r>
              <w:rPr>
                <w:sz w:val="18"/>
              </w:rPr>
              <w:t>37.448.036,33</w:t>
            </w:r>
          </w:p>
        </w:tc>
        <w:tc>
          <w:tcPr>
            <w:tcW w:w="1860" w:type="dxa"/>
            <w:tcMar>
              <w:top w:w="0" w:type="dxa"/>
              <w:bottom w:w="0" w:type="dxa"/>
            </w:tcMar>
            <w:vAlign w:val="center"/>
          </w:tcPr>
          <w:p w14:paraId="7E0EB8A7" w14:textId="77777777" w:rsidR="000149DF" w:rsidRDefault="00000000">
            <w:pPr>
              <w:keepNext/>
              <w:keepLines/>
              <w:spacing w:after="0" w:line="240" w:lineRule="auto"/>
              <w:jc w:val="right"/>
            </w:pPr>
            <w:r>
              <w:rPr>
                <w:sz w:val="18"/>
              </w:rPr>
              <w:t>39.913.001,03</w:t>
            </w:r>
          </w:p>
        </w:tc>
        <w:tc>
          <w:tcPr>
            <w:tcW w:w="700" w:type="dxa"/>
            <w:tcMar>
              <w:top w:w="0" w:type="dxa"/>
              <w:bottom w:w="0" w:type="dxa"/>
            </w:tcMar>
            <w:vAlign w:val="center"/>
          </w:tcPr>
          <w:p w14:paraId="15CEE3F8" w14:textId="77777777" w:rsidR="000149DF" w:rsidRDefault="00000000">
            <w:pPr>
              <w:keepNext/>
              <w:keepLines/>
              <w:spacing w:after="0" w:line="240" w:lineRule="auto"/>
              <w:jc w:val="right"/>
            </w:pPr>
            <w:r>
              <w:rPr>
                <w:sz w:val="18"/>
              </w:rPr>
              <w:t>106,6</w:t>
            </w:r>
          </w:p>
        </w:tc>
      </w:tr>
    </w:tbl>
    <w:p w14:paraId="1DE42D67" w14:textId="77777777" w:rsidR="000149DF" w:rsidRDefault="000149DF">
      <w:pPr>
        <w:spacing w:after="0"/>
      </w:pPr>
    </w:p>
    <w:p w14:paraId="55AE85A2" w14:textId="77777777" w:rsidR="000149DF" w:rsidRDefault="00000000">
      <w:r>
        <w:t>Financijska imovina je u odnosu na početno stanje veća za 6,6%, s tim da je novac u banci manji za 2,7% manji dok potraživanja za prihode poslovanja imaju indeks od 219,3%. </w:t>
      </w:r>
    </w:p>
    <w:p w14:paraId="2349810E" w14:textId="77777777" w:rsidR="000149DF" w:rsidRDefault="000149DF"/>
    <w:p w14:paraId="55E8AA76" w14:textId="77777777" w:rsidR="000149DF" w:rsidRDefault="00000000">
      <w:pPr>
        <w:keepNext/>
        <w:spacing w:line="240" w:lineRule="auto"/>
        <w:jc w:val="center"/>
      </w:pPr>
      <w:r>
        <w:rPr>
          <w:sz w:val="28"/>
        </w:rPr>
        <w:t>Bilješka 67.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D5C0B5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9E0496E"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C6DF5A1"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174CDD8"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909C5B1"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76F1D244"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61C7908" w14:textId="77777777" w:rsidR="000149DF" w:rsidRDefault="00000000">
            <w:pPr>
              <w:keepNext/>
              <w:keepLines/>
              <w:spacing w:after="0" w:line="240" w:lineRule="auto"/>
              <w:jc w:val="center"/>
            </w:pPr>
            <w:r>
              <w:rPr>
                <w:b/>
                <w:sz w:val="18"/>
              </w:rPr>
              <w:t>Indeks (%)</w:t>
            </w:r>
          </w:p>
        </w:tc>
      </w:tr>
      <w:tr w:rsidR="000149DF" w14:paraId="16293F0C" w14:textId="77777777">
        <w:tblPrEx>
          <w:tblCellMar>
            <w:top w:w="0" w:type="dxa"/>
            <w:bottom w:w="0" w:type="dxa"/>
          </w:tblCellMar>
        </w:tblPrEx>
        <w:trPr>
          <w:cantSplit/>
          <w:trHeight w:val="560"/>
        </w:trPr>
        <w:tc>
          <w:tcPr>
            <w:tcW w:w="700" w:type="dxa"/>
            <w:tcMar>
              <w:top w:w="0" w:type="dxa"/>
              <w:bottom w:w="0" w:type="dxa"/>
            </w:tcMar>
            <w:vAlign w:val="center"/>
          </w:tcPr>
          <w:p w14:paraId="4F2BBD81" w14:textId="77777777" w:rsidR="000149DF" w:rsidRDefault="00000000">
            <w:pPr>
              <w:keepNext/>
              <w:keepLines/>
              <w:spacing w:after="0" w:line="240" w:lineRule="auto"/>
            </w:pPr>
            <w:r>
              <w:rPr>
                <w:sz w:val="18"/>
              </w:rPr>
              <w:t>1633</w:t>
            </w:r>
          </w:p>
        </w:tc>
        <w:tc>
          <w:tcPr>
            <w:tcW w:w="3180" w:type="dxa"/>
            <w:tcMar>
              <w:top w:w="0" w:type="dxa"/>
              <w:bottom w:w="0" w:type="dxa"/>
            </w:tcMar>
            <w:vAlign w:val="center"/>
          </w:tcPr>
          <w:p w14:paraId="5C11E0FE" w14:textId="77777777" w:rsidR="000149DF" w:rsidRDefault="00000000">
            <w:pPr>
              <w:keepNext/>
              <w:keepLines/>
              <w:spacing w:after="0" w:line="240" w:lineRule="auto"/>
            </w:pPr>
            <w:r>
              <w:rPr>
                <w:sz w:val="18"/>
              </w:rPr>
              <w:t>Potraživanja za pomoći proračunu i izvanproračunskim korisnicima iz drugih proračuna</w:t>
            </w:r>
          </w:p>
        </w:tc>
        <w:tc>
          <w:tcPr>
            <w:tcW w:w="700" w:type="dxa"/>
            <w:tcMar>
              <w:top w:w="0" w:type="dxa"/>
              <w:bottom w:w="0" w:type="dxa"/>
            </w:tcMar>
            <w:vAlign w:val="center"/>
          </w:tcPr>
          <w:p w14:paraId="34F15607" w14:textId="77777777" w:rsidR="000149DF" w:rsidRDefault="00000000">
            <w:pPr>
              <w:keepNext/>
              <w:keepLines/>
              <w:spacing w:after="0" w:line="240" w:lineRule="auto"/>
            </w:pPr>
            <w:r>
              <w:rPr>
                <w:sz w:val="18"/>
              </w:rPr>
              <w:t>1633</w:t>
            </w:r>
          </w:p>
        </w:tc>
        <w:tc>
          <w:tcPr>
            <w:tcW w:w="1860" w:type="dxa"/>
            <w:tcMar>
              <w:top w:w="0" w:type="dxa"/>
              <w:bottom w:w="0" w:type="dxa"/>
            </w:tcMar>
            <w:vAlign w:val="center"/>
          </w:tcPr>
          <w:p w14:paraId="297E17A5" w14:textId="77777777" w:rsidR="000149DF" w:rsidRDefault="00000000">
            <w:pPr>
              <w:keepNext/>
              <w:keepLines/>
              <w:spacing w:after="0" w:line="240" w:lineRule="auto"/>
              <w:jc w:val="right"/>
            </w:pPr>
            <w:r>
              <w:rPr>
                <w:sz w:val="18"/>
              </w:rPr>
              <w:t>426.649,03</w:t>
            </w:r>
          </w:p>
        </w:tc>
        <w:tc>
          <w:tcPr>
            <w:tcW w:w="1860" w:type="dxa"/>
            <w:tcMar>
              <w:top w:w="0" w:type="dxa"/>
              <w:bottom w:w="0" w:type="dxa"/>
            </w:tcMar>
            <w:vAlign w:val="center"/>
          </w:tcPr>
          <w:p w14:paraId="655DEB42" w14:textId="77777777" w:rsidR="000149DF" w:rsidRDefault="00000000">
            <w:pPr>
              <w:keepNext/>
              <w:keepLines/>
              <w:spacing w:after="0" w:line="240" w:lineRule="auto"/>
              <w:jc w:val="right"/>
            </w:pPr>
            <w:r>
              <w:rPr>
                <w:sz w:val="18"/>
              </w:rPr>
              <w:t>1.106.534,57</w:t>
            </w:r>
          </w:p>
        </w:tc>
        <w:tc>
          <w:tcPr>
            <w:tcW w:w="700" w:type="dxa"/>
            <w:tcMar>
              <w:top w:w="0" w:type="dxa"/>
              <w:bottom w:w="0" w:type="dxa"/>
            </w:tcMar>
            <w:vAlign w:val="center"/>
          </w:tcPr>
          <w:p w14:paraId="5F172668" w14:textId="77777777" w:rsidR="000149DF" w:rsidRDefault="00000000">
            <w:pPr>
              <w:keepNext/>
              <w:keepLines/>
              <w:spacing w:after="0" w:line="240" w:lineRule="auto"/>
              <w:jc w:val="right"/>
            </w:pPr>
            <w:r>
              <w:rPr>
                <w:sz w:val="18"/>
              </w:rPr>
              <w:t>259,4</w:t>
            </w:r>
          </w:p>
        </w:tc>
      </w:tr>
    </w:tbl>
    <w:p w14:paraId="47646BFA" w14:textId="77777777" w:rsidR="000149DF" w:rsidRDefault="000149DF">
      <w:pPr>
        <w:spacing w:after="0"/>
      </w:pPr>
    </w:p>
    <w:p w14:paraId="728F2DA2" w14:textId="77777777" w:rsidR="000149DF" w:rsidRDefault="00000000">
      <w:r>
        <w:t>Potraživanja se odnose  na potraživanja za Projekt Centar aktivnog turizma Vidonje, na potraživanje za javni otočni prjevoz, na potraživanja za prijevoz učenika, na potraživanja za predfinanciranje EU projekata Javne ustanove Dunea i Javne ustanove za upravljanje zaštićenim dijelovima prirode DNŽ,  potraživanja od Ministarstva branitelja za refundacije troškova ukopa branitelja.</w:t>
      </w:r>
    </w:p>
    <w:p w14:paraId="79D69B8E" w14:textId="77777777" w:rsidR="000149DF" w:rsidRDefault="000149DF"/>
    <w:p w14:paraId="391A9298" w14:textId="77777777" w:rsidR="000149DF" w:rsidRDefault="00000000">
      <w:pPr>
        <w:keepNext/>
        <w:spacing w:line="240" w:lineRule="auto"/>
        <w:jc w:val="center"/>
      </w:pPr>
      <w:r>
        <w:rPr>
          <w:sz w:val="28"/>
        </w:rPr>
        <w:t>Bilješka 68.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C4DCE7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B769C5F"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059C979"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F92DC15"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011E327"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39441A9F"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04BE1C3C" w14:textId="77777777" w:rsidR="000149DF" w:rsidRDefault="00000000">
            <w:pPr>
              <w:keepNext/>
              <w:keepLines/>
              <w:spacing w:after="0" w:line="240" w:lineRule="auto"/>
              <w:jc w:val="center"/>
            </w:pPr>
            <w:r>
              <w:rPr>
                <w:b/>
                <w:sz w:val="18"/>
              </w:rPr>
              <w:t>Indeks (%)</w:t>
            </w:r>
          </w:p>
        </w:tc>
      </w:tr>
      <w:tr w:rsidR="000149DF" w14:paraId="2E7C2F60" w14:textId="77777777">
        <w:tblPrEx>
          <w:tblCellMar>
            <w:top w:w="0" w:type="dxa"/>
            <w:bottom w:w="0" w:type="dxa"/>
          </w:tblCellMar>
        </w:tblPrEx>
        <w:trPr>
          <w:cantSplit/>
          <w:trHeight w:val="560"/>
        </w:trPr>
        <w:tc>
          <w:tcPr>
            <w:tcW w:w="700" w:type="dxa"/>
            <w:tcMar>
              <w:top w:w="0" w:type="dxa"/>
              <w:bottom w:w="0" w:type="dxa"/>
            </w:tcMar>
            <w:vAlign w:val="center"/>
          </w:tcPr>
          <w:p w14:paraId="1FF571B6" w14:textId="77777777" w:rsidR="000149DF" w:rsidRDefault="00000000">
            <w:pPr>
              <w:keepNext/>
              <w:keepLines/>
              <w:spacing w:after="0" w:line="240" w:lineRule="auto"/>
            </w:pPr>
            <w:r>
              <w:rPr>
                <w:sz w:val="18"/>
              </w:rPr>
              <w:t>1638</w:t>
            </w:r>
          </w:p>
        </w:tc>
        <w:tc>
          <w:tcPr>
            <w:tcW w:w="3180" w:type="dxa"/>
            <w:tcMar>
              <w:top w:w="0" w:type="dxa"/>
              <w:bottom w:w="0" w:type="dxa"/>
            </w:tcMar>
            <w:vAlign w:val="center"/>
          </w:tcPr>
          <w:p w14:paraId="2618107C" w14:textId="77777777" w:rsidR="000149DF" w:rsidRDefault="00000000">
            <w:pPr>
              <w:keepNext/>
              <w:keepLines/>
              <w:spacing w:after="0" w:line="240" w:lineRule="auto"/>
            </w:pPr>
            <w:r>
              <w:rPr>
                <w:sz w:val="18"/>
              </w:rPr>
              <w:t>Potraživanja za pomoći temeljem prijenosa EU sredstava</w:t>
            </w:r>
          </w:p>
        </w:tc>
        <w:tc>
          <w:tcPr>
            <w:tcW w:w="700" w:type="dxa"/>
            <w:tcMar>
              <w:top w:w="0" w:type="dxa"/>
              <w:bottom w:w="0" w:type="dxa"/>
            </w:tcMar>
            <w:vAlign w:val="center"/>
          </w:tcPr>
          <w:p w14:paraId="043D35D3" w14:textId="77777777" w:rsidR="000149DF" w:rsidRDefault="00000000">
            <w:pPr>
              <w:keepNext/>
              <w:keepLines/>
              <w:spacing w:after="0" w:line="240" w:lineRule="auto"/>
            </w:pPr>
            <w:r>
              <w:rPr>
                <w:sz w:val="18"/>
              </w:rPr>
              <w:t>1638</w:t>
            </w:r>
          </w:p>
        </w:tc>
        <w:tc>
          <w:tcPr>
            <w:tcW w:w="1860" w:type="dxa"/>
            <w:tcMar>
              <w:top w:w="0" w:type="dxa"/>
              <w:bottom w:w="0" w:type="dxa"/>
            </w:tcMar>
            <w:vAlign w:val="center"/>
          </w:tcPr>
          <w:p w14:paraId="3B468BC9" w14:textId="77777777" w:rsidR="000149DF" w:rsidRDefault="00000000">
            <w:pPr>
              <w:keepNext/>
              <w:keepLines/>
              <w:spacing w:after="0" w:line="240" w:lineRule="auto"/>
              <w:jc w:val="right"/>
            </w:pPr>
            <w:r>
              <w:rPr>
                <w:sz w:val="18"/>
              </w:rPr>
              <w:t>66.002,39</w:t>
            </w:r>
          </w:p>
        </w:tc>
        <w:tc>
          <w:tcPr>
            <w:tcW w:w="1860" w:type="dxa"/>
            <w:tcMar>
              <w:top w:w="0" w:type="dxa"/>
              <w:bottom w:w="0" w:type="dxa"/>
            </w:tcMar>
            <w:vAlign w:val="center"/>
          </w:tcPr>
          <w:p w14:paraId="1C6D7756" w14:textId="77777777" w:rsidR="000149DF" w:rsidRDefault="00000000">
            <w:pPr>
              <w:keepNext/>
              <w:keepLines/>
              <w:spacing w:after="0" w:line="240" w:lineRule="auto"/>
              <w:jc w:val="right"/>
            </w:pPr>
            <w:r>
              <w:rPr>
                <w:sz w:val="18"/>
              </w:rPr>
              <w:t>1.909.860,90</w:t>
            </w:r>
          </w:p>
        </w:tc>
        <w:tc>
          <w:tcPr>
            <w:tcW w:w="700" w:type="dxa"/>
            <w:tcMar>
              <w:top w:w="0" w:type="dxa"/>
              <w:bottom w:w="0" w:type="dxa"/>
            </w:tcMar>
            <w:vAlign w:val="center"/>
          </w:tcPr>
          <w:p w14:paraId="2E87E580" w14:textId="77777777" w:rsidR="000149DF" w:rsidRDefault="00000000">
            <w:pPr>
              <w:keepNext/>
              <w:keepLines/>
              <w:spacing w:after="0" w:line="240" w:lineRule="auto"/>
              <w:jc w:val="right"/>
            </w:pPr>
            <w:r>
              <w:rPr>
                <w:sz w:val="18"/>
              </w:rPr>
              <w:t>2893,6</w:t>
            </w:r>
          </w:p>
        </w:tc>
      </w:tr>
    </w:tbl>
    <w:p w14:paraId="6D32417A" w14:textId="77777777" w:rsidR="000149DF" w:rsidRDefault="000149DF">
      <w:pPr>
        <w:spacing w:after="0"/>
      </w:pPr>
    </w:p>
    <w:p w14:paraId="3C06C9BA" w14:textId="77777777" w:rsidR="000149DF" w:rsidRDefault="00000000">
      <w:r>
        <w:t>Povećanje potraživanja za pomoći temeljem prijenosa EU sredstava nastalo je zbog započetih novih EU projekata u 2025. godini: Izgradnja OŠ Cavtat, Rekonstrukcija Gimnazije Metković te zbog potraživanja na EU projektu Zajedno možemo sve koja su znatno veća nego na dan 1. siječnja 2025. godine </w:t>
      </w:r>
    </w:p>
    <w:p w14:paraId="6B75A754" w14:textId="77777777" w:rsidR="000149DF" w:rsidRDefault="000149DF"/>
    <w:p w14:paraId="1BA13BA7" w14:textId="77777777" w:rsidR="000149DF" w:rsidRDefault="00000000">
      <w:pPr>
        <w:keepNext/>
        <w:spacing w:line="240" w:lineRule="auto"/>
        <w:jc w:val="center"/>
      </w:pPr>
      <w:r>
        <w:rPr>
          <w:sz w:val="28"/>
        </w:rPr>
        <w:t>Bilješka 69.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6BA6230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37A2C25"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0FC3CF1"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7BAB78C"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120796F"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5DF6FAA"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47CBAC84" w14:textId="77777777" w:rsidR="000149DF" w:rsidRDefault="00000000">
            <w:pPr>
              <w:keepNext/>
              <w:keepLines/>
              <w:spacing w:after="0" w:line="240" w:lineRule="auto"/>
              <w:jc w:val="center"/>
            </w:pPr>
            <w:r>
              <w:rPr>
                <w:b/>
                <w:sz w:val="18"/>
              </w:rPr>
              <w:t>Indeks (%)</w:t>
            </w:r>
          </w:p>
        </w:tc>
      </w:tr>
      <w:tr w:rsidR="000149DF" w14:paraId="608B8CAC" w14:textId="77777777">
        <w:tblPrEx>
          <w:tblCellMar>
            <w:top w:w="0" w:type="dxa"/>
            <w:bottom w:w="0" w:type="dxa"/>
          </w:tblCellMar>
        </w:tblPrEx>
        <w:trPr>
          <w:cantSplit/>
          <w:trHeight w:val="560"/>
        </w:trPr>
        <w:tc>
          <w:tcPr>
            <w:tcW w:w="700" w:type="dxa"/>
            <w:tcMar>
              <w:top w:w="0" w:type="dxa"/>
              <w:bottom w:w="0" w:type="dxa"/>
            </w:tcMar>
            <w:vAlign w:val="center"/>
          </w:tcPr>
          <w:p w14:paraId="5F9AFD5D" w14:textId="77777777" w:rsidR="000149DF" w:rsidRDefault="00000000">
            <w:pPr>
              <w:keepNext/>
              <w:keepLines/>
              <w:spacing w:after="0" w:line="240" w:lineRule="auto"/>
            </w:pPr>
            <w:r>
              <w:rPr>
                <w:sz w:val="18"/>
              </w:rPr>
              <w:t>169</w:t>
            </w:r>
          </w:p>
        </w:tc>
        <w:tc>
          <w:tcPr>
            <w:tcW w:w="3180" w:type="dxa"/>
            <w:tcMar>
              <w:top w:w="0" w:type="dxa"/>
              <w:bottom w:w="0" w:type="dxa"/>
            </w:tcMar>
            <w:vAlign w:val="center"/>
          </w:tcPr>
          <w:p w14:paraId="57F6C49B" w14:textId="77777777" w:rsidR="000149DF" w:rsidRDefault="00000000">
            <w:pPr>
              <w:keepNext/>
              <w:keepLines/>
              <w:spacing w:after="0" w:line="240" w:lineRule="auto"/>
            </w:pPr>
            <w:r>
              <w:rPr>
                <w:sz w:val="18"/>
              </w:rPr>
              <w:t>Ispravak vrijednosti potraživanja</w:t>
            </w:r>
          </w:p>
        </w:tc>
        <w:tc>
          <w:tcPr>
            <w:tcW w:w="700" w:type="dxa"/>
            <w:tcMar>
              <w:top w:w="0" w:type="dxa"/>
              <w:bottom w:w="0" w:type="dxa"/>
            </w:tcMar>
            <w:vAlign w:val="center"/>
          </w:tcPr>
          <w:p w14:paraId="30E156C3" w14:textId="77777777" w:rsidR="000149DF" w:rsidRDefault="00000000">
            <w:pPr>
              <w:keepNext/>
              <w:keepLines/>
              <w:spacing w:after="0" w:line="240" w:lineRule="auto"/>
            </w:pPr>
            <w:r>
              <w:rPr>
                <w:sz w:val="18"/>
              </w:rPr>
              <w:t>169</w:t>
            </w:r>
          </w:p>
        </w:tc>
        <w:tc>
          <w:tcPr>
            <w:tcW w:w="1860" w:type="dxa"/>
            <w:tcMar>
              <w:top w:w="0" w:type="dxa"/>
              <w:bottom w:w="0" w:type="dxa"/>
            </w:tcMar>
            <w:vAlign w:val="center"/>
          </w:tcPr>
          <w:p w14:paraId="4FCA3242" w14:textId="77777777" w:rsidR="000149DF" w:rsidRDefault="00000000">
            <w:pPr>
              <w:keepNext/>
              <w:keepLines/>
              <w:spacing w:after="0" w:line="240" w:lineRule="auto"/>
              <w:jc w:val="right"/>
            </w:pPr>
            <w:r>
              <w:rPr>
                <w:sz w:val="18"/>
              </w:rPr>
              <w:t>500.609,29</w:t>
            </w:r>
          </w:p>
        </w:tc>
        <w:tc>
          <w:tcPr>
            <w:tcW w:w="1860" w:type="dxa"/>
            <w:tcMar>
              <w:top w:w="0" w:type="dxa"/>
              <w:bottom w:w="0" w:type="dxa"/>
            </w:tcMar>
            <w:vAlign w:val="center"/>
          </w:tcPr>
          <w:p w14:paraId="1AF6E964" w14:textId="77777777" w:rsidR="000149DF" w:rsidRDefault="00000000">
            <w:pPr>
              <w:keepNext/>
              <w:keepLines/>
              <w:spacing w:after="0" w:line="240" w:lineRule="auto"/>
              <w:jc w:val="right"/>
            </w:pPr>
            <w:r>
              <w:rPr>
                <w:sz w:val="18"/>
              </w:rPr>
              <w:t>738.202,44</w:t>
            </w:r>
          </w:p>
        </w:tc>
        <w:tc>
          <w:tcPr>
            <w:tcW w:w="700" w:type="dxa"/>
            <w:tcMar>
              <w:top w:w="0" w:type="dxa"/>
              <w:bottom w:w="0" w:type="dxa"/>
            </w:tcMar>
            <w:vAlign w:val="center"/>
          </w:tcPr>
          <w:p w14:paraId="0D646BE3" w14:textId="77777777" w:rsidR="000149DF" w:rsidRDefault="00000000">
            <w:pPr>
              <w:keepNext/>
              <w:keepLines/>
              <w:spacing w:after="0" w:line="240" w:lineRule="auto"/>
              <w:jc w:val="right"/>
            </w:pPr>
            <w:r>
              <w:rPr>
                <w:sz w:val="18"/>
              </w:rPr>
              <w:t>147,5</w:t>
            </w:r>
          </w:p>
        </w:tc>
      </w:tr>
    </w:tbl>
    <w:p w14:paraId="64A09EF0" w14:textId="77777777" w:rsidR="000149DF" w:rsidRDefault="000149DF">
      <w:pPr>
        <w:spacing w:after="0"/>
      </w:pPr>
    </w:p>
    <w:p w14:paraId="00FE5214" w14:textId="77777777" w:rsidR="000149DF" w:rsidRDefault="00000000">
      <w:r>
        <w:t xml:space="preserve">Ispravak vrijednosti potraživanja – odnosi se na ispravak potraživanja za koncesije za upotrebu pomorskog dobra u iznosu od 419.347,89 €, prihode od županijskih poreza koje </w:t>
      </w:r>
      <w:r>
        <w:lastRenderedPageBreak/>
        <w:t>vodi porezna uprava 12.605,22 €, na ispravak potraživanja za EU projekt Easyconnecting u iznosu od 61.632,95 € i na ispravak potraživanja za koncesije na pomorsko dobro u iznosu od 244.616,38 €.</w:t>
      </w:r>
    </w:p>
    <w:p w14:paraId="379F8A87" w14:textId="77777777" w:rsidR="000149DF" w:rsidRDefault="000149DF"/>
    <w:p w14:paraId="7E923EE6" w14:textId="77777777" w:rsidR="000149DF" w:rsidRDefault="00000000">
      <w:pPr>
        <w:keepNext/>
        <w:spacing w:line="240" w:lineRule="auto"/>
        <w:jc w:val="center"/>
      </w:pPr>
      <w:r>
        <w:rPr>
          <w:sz w:val="28"/>
        </w:rPr>
        <w:t>Bilješka 70.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D9F102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B83EB66"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EEA8CFC"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72F6CBA"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16AD27E"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A1A0B15"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4280044" w14:textId="77777777" w:rsidR="000149DF" w:rsidRDefault="00000000">
            <w:pPr>
              <w:keepNext/>
              <w:keepLines/>
              <w:spacing w:after="0" w:line="240" w:lineRule="auto"/>
              <w:jc w:val="center"/>
            </w:pPr>
            <w:r>
              <w:rPr>
                <w:b/>
                <w:sz w:val="18"/>
              </w:rPr>
              <w:t>Indeks (%)</w:t>
            </w:r>
          </w:p>
        </w:tc>
      </w:tr>
      <w:tr w:rsidR="000149DF" w14:paraId="0ABADBF3" w14:textId="77777777">
        <w:tblPrEx>
          <w:tblCellMar>
            <w:top w:w="0" w:type="dxa"/>
            <w:bottom w:w="0" w:type="dxa"/>
          </w:tblCellMar>
        </w:tblPrEx>
        <w:trPr>
          <w:cantSplit/>
          <w:trHeight w:val="560"/>
        </w:trPr>
        <w:tc>
          <w:tcPr>
            <w:tcW w:w="700" w:type="dxa"/>
            <w:tcMar>
              <w:top w:w="0" w:type="dxa"/>
              <w:bottom w:w="0" w:type="dxa"/>
            </w:tcMar>
            <w:vAlign w:val="center"/>
          </w:tcPr>
          <w:p w14:paraId="5A3BDE78" w14:textId="77777777" w:rsidR="000149DF" w:rsidRDefault="00000000">
            <w:pPr>
              <w:keepNext/>
              <w:keepLines/>
              <w:spacing w:after="0" w:line="240" w:lineRule="auto"/>
            </w:pPr>
            <w:r>
              <w:rPr>
                <w:sz w:val="18"/>
              </w:rPr>
              <w:t>2</w:t>
            </w:r>
          </w:p>
        </w:tc>
        <w:tc>
          <w:tcPr>
            <w:tcW w:w="3180" w:type="dxa"/>
            <w:tcMar>
              <w:top w:w="0" w:type="dxa"/>
              <w:bottom w:w="0" w:type="dxa"/>
            </w:tcMar>
            <w:vAlign w:val="center"/>
          </w:tcPr>
          <w:p w14:paraId="45D278E3" w14:textId="77777777" w:rsidR="000149DF" w:rsidRDefault="00000000">
            <w:pPr>
              <w:keepNext/>
              <w:keepLines/>
              <w:spacing w:after="0" w:line="240" w:lineRule="auto"/>
            </w:pPr>
            <w:r>
              <w:rPr>
                <w:sz w:val="18"/>
              </w:rPr>
              <w:t>Obveze (šifre 23+24+25+26+27+29)</w:t>
            </w:r>
          </w:p>
        </w:tc>
        <w:tc>
          <w:tcPr>
            <w:tcW w:w="700" w:type="dxa"/>
            <w:tcMar>
              <w:top w:w="0" w:type="dxa"/>
              <w:bottom w:w="0" w:type="dxa"/>
            </w:tcMar>
            <w:vAlign w:val="center"/>
          </w:tcPr>
          <w:p w14:paraId="36746765" w14:textId="77777777" w:rsidR="000149DF" w:rsidRDefault="00000000">
            <w:pPr>
              <w:keepNext/>
              <w:keepLines/>
              <w:spacing w:after="0" w:line="240" w:lineRule="auto"/>
            </w:pPr>
            <w:r>
              <w:rPr>
                <w:sz w:val="18"/>
              </w:rPr>
              <w:t>2</w:t>
            </w:r>
          </w:p>
        </w:tc>
        <w:tc>
          <w:tcPr>
            <w:tcW w:w="1860" w:type="dxa"/>
            <w:tcMar>
              <w:top w:w="0" w:type="dxa"/>
              <w:bottom w:w="0" w:type="dxa"/>
            </w:tcMar>
            <w:vAlign w:val="center"/>
          </w:tcPr>
          <w:p w14:paraId="2AAF59BF" w14:textId="77777777" w:rsidR="000149DF" w:rsidRDefault="00000000">
            <w:pPr>
              <w:keepNext/>
              <w:keepLines/>
              <w:spacing w:after="0" w:line="240" w:lineRule="auto"/>
              <w:jc w:val="right"/>
            </w:pPr>
            <w:r>
              <w:rPr>
                <w:sz w:val="18"/>
              </w:rPr>
              <w:t>6.448.358,54</w:t>
            </w:r>
          </w:p>
        </w:tc>
        <w:tc>
          <w:tcPr>
            <w:tcW w:w="1860" w:type="dxa"/>
            <w:tcMar>
              <w:top w:w="0" w:type="dxa"/>
              <w:bottom w:w="0" w:type="dxa"/>
            </w:tcMar>
            <w:vAlign w:val="center"/>
          </w:tcPr>
          <w:p w14:paraId="2412B5E0" w14:textId="77777777" w:rsidR="000149DF" w:rsidRDefault="00000000">
            <w:pPr>
              <w:keepNext/>
              <w:keepLines/>
              <w:spacing w:after="0" w:line="240" w:lineRule="auto"/>
              <w:jc w:val="right"/>
            </w:pPr>
            <w:r>
              <w:rPr>
                <w:sz w:val="18"/>
              </w:rPr>
              <w:t>8.256.472,82</w:t>
            </w:r>
          </w:p>
        </w:tc>
        <w:tc>
          <w:tcPr>
            <w:tcW w:w="700" w:type="dxa"/>
            <w:tcMar>
              <w:top w:w="0" w:type="dxa"/>
              <w:bottom w:w="0" w:type="dxa"/>
            </w:tcMar>
            <w:vAlign w:val="center"/>
          </w:tcPr>
          <w:p w14:paraId="7CD822C5" w14:textId="77777777" w:rsidR="000149DF" w:rsidRDefault="00000000">
            <w:pPr>
              <w:keepNext/>
              <w:keepLines/>
              <w:spacing w:after="0" w:line="240" w:lineRule="auto"/>
              <w:jc w:val="right"/>
            </w:pPr>
            <w:r>
              <w:rPr>
                <w:sz w:val="18"/>
              </w:rPr>
              <w:t>128,0</w:t>
            </w:r>
          </w:p>
        </w:tc>
      </w:tr>
    </w:tbl>
    <w:p w14:paraId="3D94C0D6" w14:textId="77777777" w:rsidR="000149DF" w:rsidRDefault="000149DF">
      <w:pPr>
        <w:spacing w:after="0"/>
      </w:pPr>
    </w:p>
    <w:p w14:paraId="0EB69721" w14:textId="77777777" w:rsidR="000149DF" w:rsidRDefault="00000000">
      <w:r>
        <w:t>Obveze veće su za 28% u odnosu na početno stanje, a najznačajnije obveze odnose se na obveze za deponirana sredstva za izvlaštenja u iznosu od 2.720.093,10 € od kojih  1.277.793,56 € ostaje u državnom proračunu i povlače se po dospijeću obveza, obveze po isplaćenim beskamatnim zajmovima iz državnog proračuna u iznosu od 2.176.007,44 € (beskamatni zajam po osnovi odgode plaćanja poreza na dohodak i prireza porezu na dohodak po osnovi povrata poreza na dohodak po godišnjoj prijavi za 2019. – 370.977,15 €, beskamatni zajam po osnovi pada prihoda u 2020. i u 2021. godini – 1.805.030,19 €), obveze za zaposlene u iznosu od 685.432,62 €, obveze prema prijevoznicima učenika srednjih škola i prema prijevoznicima za otočni prijevoz  u iznosu od 333.571,47 €. U drugoj polovici 2024. godine počelo se s aktivnosti financiranja otočnog prijevoza pa samim tim i obveze značajno veće u odnosu na početno stanje. </w:t>
      </w:r>
    </w:p>
    <w:p w14:paraId="0DD0881C" w14:textId="77777777" w:rsidR="000149DF" w:rsidRDefault="000149DF"/>
    <w:p w14:paraId="140259B7" w14:textId="77777777" w:rsidR="000149DF" w:rsidRDefault="00000000">
      <w:pPr>
        <w:keepNext/>
        <w:spacing w:line="240" w:lineRule="auto"/>
        <w:jc w:val="center"/>
      </w:pPr>
      <w:r>
        <w:rPr>
          <w:sz w:val="28"/>
        </w:rPr>
        <w:t>Bilješka 71.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51F286A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9387628"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619AA9B"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1B2E07C"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65AEFA2"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09A7D3A0"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066E5654" w14:textId="77777777" w:rsidR="000149DF" w:rsidRDefault="00000000">
            <w:pPr>
              <w:keepNext/>
              <w:keepLines/>
              <w:spacing w:after="0" w:line="240" w:lineRule="auto"/>
              <w:jc w:val="center"/>
            </w:pPr>
            <w:r>
              <w:rPr>
                <w:b/>
                <w:sz w:val="18"/>
              </w:rPr>
              <w:t>Indeks (%)</w:t>
            </w:r>
          </w:p>
        </w:tc>
      </w:tr>
      <w:tr w:rsidR="000149DF" w14:paraId="50B28EA0" w14:textId="77777777">
        <w:tblPrEx>
          <w:tblCellMar>
            <w:top w:w="0" w:type="dxa"/>
            <w:bottom w:w="0" w:type="dxa"/>
          </w:tblCellMar>
        </w:tblPrEx>
        <w:trPr>
          <w:cantSplit/>
          <w:trHeight w:val="560"/>
        </w:trPr>
        <w:tc>
          <w:tcPr>
            <w:tcW w:w="700" w:type="dxa"/>
            <w:tcMar>
              <w:top w:w="0" w:type="dxa"/>
              <w:bottom w:w="0" w:type="dxa"/>
            </w:tcMar>
            <w:vAlign w:val="center"/>
          </w:tcPr>
          <w:p w14:paraId="60242F46" w14:textId="77777777" w:rsidR="000149DF" w:rsidRDefault="00000000">
            <w:pPr>
              <w:keepNext/>
              <w:keepLines/>
              <w:spacing w:after="0" w:line="240" w:lineRule="auto"/>
            </w:pPr>
            <w:r>
              <w:rPr>
                <w:sz w:val="18"/>
              </w:rPr>
              <w:t>239</w:t>
            </w:r>
          </w:p>
        </w:tc>
        <w:tc>
          <w:tcPr>
            <w:tcW w:w="3180" w:type="dxa"/>
            <w:tcMar>
              <w:top w:w="0" w:type="dxa"/>
              <w:bottom w:w="0" w:type="dxa"/>
            </w:tcMar>
            <w:vAlign w:val="center"/>
          </w:tcPr>
          <w:p w14:paraId="67366745" w14:textId="77777777" w:rsidR="000149DF" w:rsidRDefault="00000000">
            <w:pPr>
              <w:keepNext/>
              <w:keepLines/>
              <w:spacing w:after="0" w:line="240" w:lineRule="auto"/>
            </w:pPr>
            <w:r>
              <w:rPr>
                <w:sz w:val="18"/>
              </w:rPr>
              <w:t>Ostale tekuće obveze</w:t>
            </w:r>
          </w:p>
        </w:tc>
        <w:tc>
          <w:tcPr>
            <w:tcW w:w="700" w:type="dxa"/>
            <w:tcMar>
              <w:top w:w="0" w:type="dxa"/>
              <w:bottom w:w="0" w:type="dxa"/>
            </w:tcMar>
            <w:vAlign w:val="center"/>
          </w:tcPr>
          <w:p w14:paraId="2D24AFEA" w14:textId="77777777" w:rsidR="000149DF" w:rsidRDefault="00000000">
            <w:pPr>
              <w:keepNext/>
              <w:keepLines/>
              <w:spacing w:after="0" w:line="240" w:lineRule="auto"/>
            </w:pPr>
            <w:r>
              <w:rPr>
                <w:sz w:val="18"/>
              </w:rPr>
              <w:t>239</w:t>
            </w:r>
          </w:p>
        </w:tc>
        <w:tc>
          <w:tcPr>
            <w:tcW w:w="1860" w:type="dxa"/>
            <w:tcMar>
              <w:top w:w="0" w:type="dxa"/>
              <w:bottom w:w="0" w:type="dxa"/>
            </w:tcMar>
            <w:vAlign w:val="center"/>
          </w:tcPr>
          <w:p w14:paraId="737D626C" w14:textId="77777777" w:rsidR="000149DF" w:rsidRDefault="00000000">
            <w:pPr>
              <w:keepNext/>
              <w:keepLines/>
              <w:spacing w:after="0" w:line="240" w:lineRule="auto"/>
              <w:jc w:val="right"/>
            </w:pPr>
            <w:r>
              <w:rPr>
                <w:sz w:val="18"/>
              </w:rPr>
              <w:t>42.355,87</w:t>
            </w:r>
          </w:p>
        </w:tc>
        <w:tc>
          <w:tcPr>
            <w:tcW w:w="1860" w:type="dxa"/>
            <w:tcMar>
              <w:top w:w="0" w:type="dxa"/>
              <w:bottom w:w="0" w:type="dxa"/>
            </w:tcMar>
            <w:vAlign w:val="center"/>
          </w:tcPr>
          <w:p w14:paraId="2C35AED7" w14:textId="77777777" w:rsidR="000149DF" w:rsidRDefault="00000000">
            <w:pPr>
              <w:keepNext/>
              <w:keepLines/>
              <w:spacing w:after="0" w:line="240" w:lineRule="auto"/>
              <w:jc w:val="right"/>
            </w:pPr>
            <w:r>
              <w:rPr>
                <w:sz w:val="18"/>
              </w:rPr>
              <w:t>255.894,12</w:t>
            </w:r>
          </w:p>
        </w:tc>
        <w:tc>
          <w:tcPr>
            <w:tcW w:w="700" w:type="dxa"/>
            <w:tcMar>
              <w:top w:w="0" w:type="dxa"/>
              <w:bottom w:w="0" w:type="dxa"/>
            </w:tcMar>
            <w:vAlign w:val="center"/>
          </w:tcPr>
          <w:p w14:paraId="22812D46" w14:textId="77777777" w:rsidR="000149DF" w:rsidRDefault="00000000">
            <w:pPr>
              <w:keepNext/>
              <w:keepLines/>
              <w:spacing w:after="0" w:line="240" w:lineRule="auto"/>
              <w:jc w:val="right"/>
            </w:pPr>
            <w:r>
              <w:rPr>
                <w:sz w:val="18"/>
              </w:rPr>
              <w:t>604,2</w:t>
            </w:r>
          </w:p>
        </w:tc>
      </w:tr>
    </w:tbl>
    <w:p w14:paraId="6D1672CE" w14:textId="77777777" w:rsidR="000149DF" w:rsidRDefault="000149DF">
      <w:pPr>
        <w:spacing w:after="0"/>
      </w:pPr>
    </w:p>
    <w:p w14:paraId="113F2B25" w14:textId="77777777" w:rsidR="000149DF" w:rsidRDefault="00000000">
      <w:r>
        <w:t>Povećanje se odnosi na sredstva koja je Županija obvezna vratiti u Državni proračun iz decentraliziranih sredstava.</w:t>
      </w:r>
    </w:p>
    <w:p w14:paraId="3F66E9E8" w14:textId="77777777" w:rsidR="000149DF" w:rsidRDefault="000149DF"/>
    <w:p w14:paraId="6A283D59" w14:textId="77777777" w:rsidR="000149DF" w:rsidRDefault="00000000">
      <w:pPr>
        <w:keepNext/>
        <w:spacing w:line="240" w:lineRule="auto"/>
        <w:jc w:val="center"/>
      </w:pPr>
      <w:r>
        <w:rPr>
          <w:sz w:val="28"/>
        </w:rPr>
        <w:t>Bilješka 72.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72098D2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4C677E5"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CF249A1"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5FFA398"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B33CCAB" w14:textId="77777777" w:rsidR="000149DF" w:rsidRDefault="00000000">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D3F9CC7" w14:textId="77777777" w:rsidR="000149DF" w:rsidRDefault="00000000">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C6E6445" w14:textId="77777777" w:rsidR="000149DF" w:rsidRDefault="00000000">
            <w:pPr>
              <w:keepNext/>
              <w:keepLines/>
              <w:spacing w:after="0" w:line="240" w:lineRule="auto"/>
              <w:jc w:val="center"/>
            </w:pPr>
            <w:r>
              <w:rPr>
                <w:b/>
                <w:sz w:val="18"/>
              </w:rPr>
              <w:t>Indeks (%)</w:t>
            </w:r>
          </w:p>
        </w:tc>
      </w:tr>
      <w:tr w:rsidR="000149DF" w14:paraId="0B65218E" w14:textId="77777777">
        <w:tblPrEx>
          <w:tblCellMar>
            <w:top w:w="0" w:type="dxa"/>
            <w:bottom w:w="0" w:type="dxa"/>
          </w:tblCellMar>
        </w:tblPrEx>
        <w:trPr>
          <w:cantSplit/>
          <w:trHeight w:val="560"/>
        </w:trPr>
        <w:tc>
          <w:tcPr>
            <w:tcW w:w="700" w:type="dxa"/>
            <w:tcMar>
              <w:top w:w="0" w:type="dxa"/>
              <w:bottom w:w="0" w:type="dxa"/>
            </w:tcMar>
            <w:vAlign w:val="center"/>
          </w:tcPr>
          <w:p w14:paraId="7378BBB9" w14:textId="77777777" w:rsidR="000149DF" w:rsidRDefault="00000000">
            <w:pPr>
              <w:keepNext/>
              <w:keepLines/>
              <w:spacing w:after="0" w:line="240" w:lineRule="auto"/>
            </w:pPr>
            <w:r>
              <w:rPr>
                <w:sz w:val="18"/>
              </w:rPr>
              <w:t>922</w:t>
            </w:r>
          </w:p>
        </w:tc>
        <w:tc>
          <w:tcPr>
            <w:tcW w:w="3180" w:type="dxa"/>
            <w:tcMar>
              <w:top w:w="0" w:type="dxa"/>
              <w:bottom w:w="0" w:type="dxa"/>
            </w:tcMar>
            <w:vAlign w:val="center"/>
          </w:tcPr>
          <w:p w14:paraId="79C6AF00" w14:textId="77777777" w:rsidR="000149DF" w:rsidRDefault="00000000">
            <w:pPr>
              <w:keepNext/>
              <w:keepLines/>
              <w:spacing w:after="0" w:line="240" w:lineRule="auto"/>
            </w:pPr>
            <w:r>
              <w:rPr>
                <w:sz w:val="18"/>
              </w:rPr>
              <w:t>Rezultat - višak/manjak (šifre 9221-9222)</w:t>
            </w:r>
          </w:p>
        </w:tc>
        <w:tc>
          <w:tcPr>
            <w:tcW w:w="700" w:type="dxa"/>
            <w:tcMar>
              <w:top w:w="0" w:type="dxa"/>
              <w:bottom w:w="0" w:type="dxa"/>
            </w:tcMar>
            <w:vAlign w:val="center"/>
          </w:tcPr>
          <w:p w14:paraId="56348A82" w14:textId="77777777" w:rsidR="000149DF" w:rsidRDefault="00000000">
            <w:pPr>
              <w:keepNext/>
              <w:keepLines/>
              <w:spacing w:after="0" w:line="240" w:lineRule="auto"/>
            </w:pPr>
            <w:r>
              <w:rPr>
                <w:sz w:val="18"/>
              </w:rPr>
              <w:t>922</w:t>
            </w:r>
          </w:p>
        </w:tc>
        <w:tc>
          <w:tcPr>
            <w:tcW w:w="1860" w:type="dxa"/>
            <w:tcMar>
              <w:top w:w="0" w:type="dxa"/>
              <w:bottom w:w="0" w:type="dxa"/>
            </w:tcMar>
            <w:vAlign w:val="center"/>
          </w:tcPr>
          <w:p w14:paraId="38B292A4" w14:textId="77777777" w:rsidR="000149DF" w:rsidRDefault="00000000">
            <w:pPr>
              <w:keepNext/>
              <w:keepLines/>
              <w:spacing w:after="0" w:line="240" w:lineRule="auto"/>
              <w:jc w:val="right"/>
            </w:pPr>
            <w:r>
              <w:rPr>
                <w:sz w:val="18"/>
              </w:rPr>
              <w:t>14.064.677,21</w:t>
            </w:r>
          </w:p>
        </w:tc>
        <w:tc>
          <w:tcPr>
            <w:tcW w:w="1860" w:type="dxa"/>
            <w:tcMar>
              <w:top w:w="0" w:type="dxa"/>
              <w:bottom w:w="0" w:type="dxa"/>
            </w:tcMar>
            <w:vAlign w:val="center"/>
          </w:tcPr>
          <w:p w14:paraId="35B06942" w14:textId="77777777" w:rsidR="000149DF" w:rsidRDefault="00000000">
            <w:pPr>
              <w:keepNext/>
              <w:keepLines/>
              <w:spacing w:after="0" w:line="240" w:lineRule="auto"/>
              <w:jc w:val="right"/>
            </w:pPr>
            <w:r>
              <w:rPr>
                <w:sz w:val="18"/>
              </w:rPr>
              <w:t>12.532.905,84</w:t>
            </w:r>
          </w:p>
        </w:tc>
        <w:tc>
          <w:tcPr>
            <w:tcW w:w="700" w:type="dxa"/>
            <w:tcMar>
              <w:top w:w="0" w:type="dxa"/>
              <w:bottom w:w="0" w:type="dxa"/>
            </w:tcMar>
            <w:vAlign w:val="center"/>
          </w:tcPr>
          <w:p w14:paraId="4BC2CDFC" w14:textId="77777777" w:rsidR="000149DF" w:rsidRDefault="00000000">
            <w:pPr>
              <w:keepNext/>
              <w:keepLines/>
              <w:spacing w:after="0" w:line="240" w:lineRule="auto"/>
              <w:jc w:val="right"/>
            </w:pPr>
            <w:r>
              <w:rPr>
                <w:sz w:val="18"/>
              </w:rPr>
              <w:t>89,1</w:t>
            </w:r>
          </w:p>
        </w:tc>
      </w:tr>
    </w:tbl>
    <w:p w14:paraId="41C4F25E" w14:textId="77777777" w:rsidR="000149DF" w:rsidRDefault="000149DF">
      <w:pPr>
        <w:spacing w:after="0"/>
      </w:pPr>
    </w:p>
    <w:p w14:paraId="3B92D950" w14:textId="77777777" w:rsidR="000149DF" w:rsidRDefault="00000000">
      <w:r>
        <w:t xml:space="preserve">Višak prihoda na dan 31.12.2025. godine iznosi 12.532.905,84 €. Izvršena je obvezna korekcija rezultata. Tijekom 2025. godine evidentirana su na računima kapitalnih prijenosa sredstva u iznosu 2.304.436,19 € koja su utrošena za nabavu nefinancijske imovine. Navedeni kapitalni prihodi utjecali su na rezultat od redovnog poslovanja, a nabava nefinancijske </w:t>
      </w:r>
      <w:r>
        <w:lastRenderedPageBreak/>
        <w:t>imovine na rezultat od nefinancijske imovine, pa je provedena korekcija na način da je zadužen račun viška prihoda poslovanja, a odobren račun manjak prihoda od nefinancijske imovine. </w:t>
      </w:r>
    </w:p>
    <w:p w14:paraId="0BA7B1C0" w14:textId="77777777" w:rsidR="000149DF" w:rsidRDefault="000149DF"/>
    <w:p w14:paraId="3B5AC481" w14:textId="77777777" w:rsidR="000149DF" w:rsidRDefault="00000000">
      <w:pPr>
        <w:keepNext/>
        <w:spacing w:line="240" w:lineRule="auto"/>
        <w:jc w:val="center"/>
      </w:pPr>
      <w:r>
        <w:rPr>
          <w:b/>
          <w:sz w:val="28"/>
        </w:rPr>
        <w:t>Izvještaj o rashodima prema funkcijskoj klasifikaciji</w:t>
      </w:r>
    </w:p>
    <w:p w14:paraId="243153B8" w14:textId="77777777" w:rsidR="000149DF" w:rsidRDefault="00000000">
      <w:pPr>
        <w:keepNext/>
        <w:spacing w:line="240" w:lineRule="auto"/>
        <w:jc w:val="center"/>
      </w:pPr>
      <w:r>
        <w:rPr>
          <w:sz w:val="28"/>
        </w:rPr>
        <w:t>Bilješka 73.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939794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3657EEE"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7C33612"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6FE2090"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E340DD9" w14:textId="77777777" w:rsidR="000149DF"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E04405B" w14:textId="77777777" w:rsidR="000149DF"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425CD15" w14:textId="77777777" w:rsidR="000149DF" w:rsidRDefault="00000000">
            <w:pPr>
              <w:keepNext/>
              <w:keepLines/>
              <w:spacing w:after="0" w:line="240" w:lineRule="auto"/>
              <w:jc w:val="center"/>
            </w:pPr>
            <w:r>
              <w:rPr>
                <w:b/>
                <w:sz w:val="18"/>
              </w:rPr>
              <w:t>Indeks (%)</w:t>
            </w:r>
          </w:p>
        </w:tc>
      </w:tr>
      <w:tr w:rsidR="000149DF" w14:paraId="55808567" w14:textId="77777777">
        <w:tblPrEx>
          <w:tblCellMar>
            <w:top w:w="0" w:type="dxa"/>
            <w:bottom w:w="0" w:type="dxa"/>
          </w:tblCellMar>
        </w:tblPrEx>
        <w:trPr>
          <w:cantSplit/>
          <w:trHeight w:val="560"/>
        </w:trPr>
        <w:tc>
          <w:tcPr>
            <w:tcW w:w="700" w:type="dxa"/>
            <w:tcMar>
              <w:top w:w="0" w:type="dxa"/>
              <w:bottom w:w="0" w:type="dxa"/>
            </w:tcMar>
            <w:vAlign w:val="center"/>
          </w:tcPr>
          <w:p w14:paraId="4CEF03D8" w14:textId="77777777" w:rsidR="000149DF" w:rsidRDefault="000149DF">
            <w:pPr>
              <w:keepNext/>
              <w:keepLines/>
              <w:spacing w:after="0" w:line="240" w:lineRule="auto"/>
            </w:pPr>
          </w:p>
        </w:tc>
        <w:tc>
          <w:tcPr>
            <w:tcW w:w="3180" w:type="dxa"/>
            <w:tcMar>
              <w:top w:w="0" w:type="dxa"/>
              <w:bottom w:w="0" w:type="dxa"/>
            </w:tcMar>
            <w:vAlign w:val="center"/>
          </w:tcPr>
          <w:p w14:paraId="087347E5" w14:textId="77777777" w:rsidR="000149DF" w:rsidRDefault="00000000">
            <w:pPr>
              <w:keepNext/>
              <w:keepLines/>
              <w:spacing w:after="0" w:line="240" w:lineRule="auto"/>
            </w:pPr>
            <w:r>
              <w:rPr>
                <w:sz w:val="18"/>
              </w:rPr>
              <w:t>Kontrolni zbroj (šifre 01+02+03+04+05+06+07+08+09+10)</w:t>
            </w:r>
          </w:p>
        </w:tc>
        <w:tc>
          <w:tcPr>
            <w:tcW w:w="700" w:type="dxa"/>
            <w:tcMar>
              <w:top w:w="0" w:type="dxa"/>
              <w:bottom w:w="0" w:type="dxa"/>
            </w:tcMar>
            <w:vAlign w:val="center"/>
          </w:tcPr>
          <w:p w14:paraId="4999C82D" w14:textId="77777777" w:rsidR="000149DF" w:rsidRDefault="00000000">
            <w:pPr>
              <w:keepNext/>
              <w:keepLines/>
              <w:spacing w:after="0" w:line="240" w:lineRule="auto"/>
            </w:pPr>
            <w:r>
              <w:rPr>
                <w:sz w:val="18"/>
              </w:rPr>
              <w:t>R1</w:t>
            </w:r>
          </w:p>
        </w:tc>
        <w:tc>
          <w:tcPr>
            <w:tcW w:w="1860" w:type="dxa"/>
            <w:tcMar>
              <w:top w:w="0" w:type="dxa"/>
              <w:bottom w:w="0" w:type="dxa"/>
            </w:tcMar>
            <w:vAlign w:val="center"/>
          </w:tcPr>
          <w:p w14:paraId="2BA131BA" w14:textId="77777777" w:rsidR="000149DF" w:rsidRDefault="00000000">
            <w:pPr>
              <w:keepNext/>
              <w:keepLines/>
              <w:spacing w:after="0" w:line="240" w:lineRule="auto"/>
              <w:jc w:val="right"/>
            </w:pPr>
            <w:r>
              <w:rPr>
                <w:sz w:val="18"/>
              </w:rPr>
              <w:t>20.997.728,27</w:t>
            </w:r>
          </w:p>
        </w:tc>
        <w:tc>
          <w:tcPr>
            <w:tcW w:w="1860" w:type="dxa"/>
            <w:tcMar>
              <w:top w:w="0" w:type="dxa"/>
              <w:bottom w:w="0" w:type="dxa"/>
            </w:tcMar>
            <w:vAlign w:val="center"/>
          </w:tcPr>
          <w:p w14:paraId="61FD7C11" w14:textId="77777777" w:rsidR="000149DF" w:rsidRDefault="00000000">
            <w:pPr>
              <w:keepNext/>
              <w:keepLines/>
              <w:spacing w:after="0" w:line="240" w:lineRule="auto"/>
              <w:jc w:val="right"/>
            </w:pPr>
            <w:r>
              <w:rPr>
                <w:sz w:val="18"/>
              </w:rPr>
              <w:t>30.091.002,85</w:t>
            </w:r>
          </w:p>
        </w:tc>
        <w:tc>
          <w:tcPr>
            <w:tcW w:w="700" w:type="dxa"/>
            <w:tcMar>
              <w:top w:w="0" w:type="dxa"/>
              <w:bottom w:w="0" w:type="dxa"/>
            </w:tcMar>
            <w:vAlign w:val="center"/>
          </w:tcPr>
          <w:p w14:paraId="548D8DAA" w14:textId="77777777" w:rsidR="000149DF" w:rsidRDefault="00000000">
            <w:pPr>
              <w:keepNext/>
              <w:keepLines/>
              <w:spacing w:after="0" w:line="240" w:lineRule="auto"/>
              <w:jc w:val="right"/>
            </w:pPr>
            <w:r>
              <w:rPr>
                <w:sz w:val="18"/>
              </w:rPr>
              <w:t>143,3</w:t>
            </w:r>
          </w:p>
        </w:tc>
      </w:tr>
    </w:tbl>
    <w:p w14:paraId="3E8AA7AB" w14:textId="77777777" w:rsidR="000149DF" w:rsidRDefault="000149DF">
      <w:pPr>
        <w:spacing w:after="0"/>
      </w:pPr>
    </w:p>
    <w:p w14:paraId="684F307F" w14:textId="77777777" w:rsidR="000149DF" w:rsidRDefault="00000000">
      <w:r>
        <w:t>Ukupni rashodi u izvještaju prema funkcijskoj klasifikaciji iznose 30.091.002,85 € što odgovara ukupnim rashodima (Y034) Obrasca PR-RAS umanjeno za prijenose proračunskim korisnicima županijskog proračuna (367) – (50.114.293,13 € minus 20.023.290,28 €) i veći su za 43,3% u odnosu na prethodnu godinu. </w:t>
      </w:r>
    </w:p>
    <w:p w14:paraId="41046F20" w14:textId="77777777" w:rsidR="000149DF" w:rsidRDefault="000149DF"/>
    <w:p w14:paraId="6227E32F" w14:textId="77777777" w:rsidR="000149DF" w:rsidRDefault="00000000">
      <w:pPr>
        <w:keepNext/>
        <w:spacing w:line="240" w:lineRule="auto"/>
        <w:jc w:val="center"/>
      </w:pPr>
      <w:r>
        <w:rPr>
          <w:b/>
          <w:sz w:val="28"/>
        </w:rPr>
        <w:t>Promjene u vrijednosti i obujmu imovine i obveza</w:t>
      </w:r>
    </w:p>
    <w:p w14:paraId="2F4363A2" w14:textId="77777777" w:rsidR="000149DF" w:rsidRDefault="00000000">
      <w:pPr>
        <w:keepNext/>
        <w:spacing w:line="240" w:lineRule="auto"/>
        <w:jc w:val="center"/>
      </w:pPr>
      <w:r>
        <w:rPr>
          <w:sz w:val="28"/>
        </w:rPr>
        <w:t>Bilješka 74.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2AF547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752045C"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07E1457"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FDF1C0E"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D4425BE" w14:textId="77777777" w:rsidR="000149DF" w:rsidRDefault="00000000">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1A68D027" w14:textId="77777777" w:rsidR="000149DF" w:rsidRDefault="00000000">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420631BF" w14:textId="77777777" w:rsidR="000149DF" w:rsidRDefault="00000000">
            <w:pPr>
              <w:keepNext/>
              <w:keepLines/>
              <w:spacing w:after="0" w:line="240" w:lineRule="auto"/>
              <w:jc w:val="center"/>
            </w:pPr>
            <w:r>
              <w:rPr>
                <w:b/>
                <w:sz w:val="18"/>
              </w:rPr>
              <w:t>Indeks (%)</w:t>
            </w:r>
          </w:p>
        </w:tc>
      </w:tr>
      <w:tr w:rsidR="000149DF" w14:paraId="388173D6" w14:textId="77777777">
        <w:tblPrEx>
          <w:tblCellMar>
            <w:top w:w="0" w:type="dxa"/>
            <w:bottom w:w="0" w:type="dxa"/>
          </w:tblCellMar>
        </w:tblPrEx>
        <w:trPr>
          <w:cantSplit/>
          <w:trHeight w:val="560"/>
        </w:trPr>
        <w:tc>
          <w:tcPr>
            <w:tcW w:w="700" w:type="dxa"/>
            <w:tcMar>
              <w:top w:w="0" w:type="dxa"/>
              <w:bottom w:w="0" w:type="dxa"/>
            </w:tcMar>
            <w:vAlign w:val="center"/>
          </w:tcPr>
          <w:p w14:paraId="1B48182C" w14:textId="77777777" w:rsidR="000149DF" w:rsidRDefault="000149DF">
            <w:pPr>
              <w:keepNext/>
              <w:keepLines/>
              <w:spacing w:after="0" w:line="240" w:lineRule="auto"/>
            </w:pPr>
          </w:p>
        </w:tc>
        <w:tc>
          <w:tcPr>
            <w:tcW w:w="3180" w:type="dxa"/>
            <w:tcMar>
              <w:top w:w="0" w:type="dxa"/>
              <w:bottom w:w="0" w:type="dxa"/>
            </w:tcMar>
            <w:vAlign w:val="center"/>
          </w:tcPr>
          <w:p w14:paraId="37D419A4" w14:textId="77777777" w:rsidR="000149DF" w:rsidRDefault="00000000">
            <w:pPr>
              <w:keepNext/>
              <w:keepLines/>
              <w:spacing w:after="0" w:line="240" w:lineRule="auto"/>
            </w:pPr>
            <w:r>
              <w:rPr>
                <w:sz w:val="18"/>
              </w:rPr>
              <w:t>Neproizvedena dugotrajna imovina</w:t>
            </w:r>
          </w:p>
        </w:tc>
        <w:tc>
          <w:tcPr>
            <w:tcW w:w="700" w:type="dxa"/>
            <w:tcMar>
              <w:top w:w="0" w:type="dxa"/>
              <w:bottom w:w="0" w:type="dxa"/>
            </w:tcMar>
            <w:vAlign w:val="center"/>
          </w:tcPr>
          <w:p w14:paraId="5EE88843" w14:textId="77777777" w:rsidR="000149DF" w:rsidRDefault="00000000">
            <w:pPr>
              <w:keepNext/>
              <w:keepLines/>
              <w:spacing w:after="0" w:line="240" w:lineRule="auto"/>
            </w:pPr>
            <w:r>
              <w:rPr>
                <w:sz w:val="18"/>
              </w:rPr>
              <w:t>P002</w:t>
            </w:r>
          </w:p>
        </w:tc>
        <w:tc>
          <w:tcPr>
            <w:tcW w:w="1860" w:type="dxa"/>
            <w:tcMar>
              <w:top w:w="0" w:type="dxa"/>
              <w:bottom w:w="0" w:type="dxa"/>
            </w:tcMar>
            <w:vAlign w:val="center"/>
          </w:tcPr>
          <w:p w14:paraId="19C04A75" w14:textId="77777777" w:rsidR="000149DF" w:rsidRDefault="00000000">
            <w:pPr>
              <w:keepNext/>
              <w:keepLines/>
              <w:spacing w:after="0" w:line="240" w:lineRule="auto"/>
              <w:jc w:val="right"/>
            </w:pPr>
            <w:r>
              <w:rPr>
                <w:sz w:val="18"/>
              </w:rPr>
              <w:t>0,00</w:t>
            </w:r>
          </w:p>
        </w:tc>
        <w:tc>
          <w:tcPr>
            <w:tcW w:w="1860" w:type="dxa"/>
            <w:tcMar>
              <w:top w:w="0" w:type="dxa"/>
              <w:bottom w:w="0" w:type="dxa"/>
            </w:tcMar>
            <w:vAlign w:val="center"/>
          </w:tcPr>
          <w:p w14:paraId="00F5355D" w14:textId="77777777" w:rsidR="000149DF" w:rsidRDefault="00000000">
            <w:pPr>
              <w:keepNext/>
              <w:keepLines/>
              <w:spacing w:after="0" w:line="240" w:lineRule="auto"/>
              <w:jc w:val="right"/>
            </w:pPr>
            <w:r>
              <w:rPr>
                <w:sz w:val="18"/>
              </w:rPr>
              <w:t>192.522,32</w:t>
            </w:r>
          </w:p>
        </w:tc>
        <w:tc>
          <w:tcPr>
            <w:tcW w:w="700" w:type="dxa"/>
            <w:tcMar>
              <w:top w:w="0" w:type="dxa"/>
              <w:bottom w:w="0" w:type="dxa"/>
            </w:tcMar>
            <w:vAlign w:val="center"/>
          </w:tcPr>
          <w:p w14:paraId="5A0CCF81" w14:textId="77777777" w:rsidR="000149DF" w:rsidRDefault="00000000">
            <w:pPr>
              <w:keepNext/>
              <w:keepLines/>
              <w:spacing w:after="0" w:line="240" w:lineRule="auto"/>
              <w:jc w:val="right"/>
            </w:pPr>
            <w:r>
              <w:rPr>
                <w:sz w:val="18"/>
              </w:rPr>
              <w:t>-</w:t>
            </w:r>
          </w:p>
        </w:tc>
      </w:tr>
    </w:tbl>
    <w:p w14:paraId="5945B43A" w14:textId="77777777" w:rsidR="000149DF" w:rsidRDefault="000149DF">
      <w:pPr>
        <w:spacing w:after="0"/>
      </w:pPr>
    </w:p>
    <w:p w14:paraId="62200CF4" w14:textId="77777777" w:rsidR="000149DF" w:rsidRDefault="00000000">
      <w:r>
        <w:t>Iznos od 192.522,32 € odnosi se na ispravak vrijednosti nematerijalne imovine.</w:t>
      </w:r>
    </w:p>
    <w:p w14:paraId="029DDE76" w14:textId="77777777" w:rsidR="000149DF" w:rsidRDefault="000149DF"/>
    <w:p w14:paraId="7D6C04F8" w14:textId="77777777" w:rsidR="000149DF" w:rsidRDefault="00000000">
      <w:pPr>
        <w:keepNext/>
        <w:spacing w:line="240" w:lineRule="auto"/>
        <w:jc w:val="center"/>
      </w:pPr>
      <w:r>
        <w:rPr>
          <w:sz w:val="28"/>
        </w:rPr>
        <w:t>Bilješka 75.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5F40DB5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4078F77"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1178BE5"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F5E847E"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80DA760" w14:textId="77777777" w:rsidR="000149DF" w:rsidRDefault="00000000">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0EDAB9F0" w14:textId="77777777" w:rsidR="000149DF" w:rsidRDefault="00000000">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781BD82B" w14:textId="77777777" w:rsidR="000149DF" w:rsidRDefault="00000000">
            <w:pPr>
              <w:keepNext/>
              <w:keepLines/>
              <w:spacing w:after="0" w:line="240" w:lineRule="auto"/>
              <w:jc w:val="center"/>
            </w:pPr>
            <w:r>
              <w:rPr>
                <w:b/>
                <w:sz w:val="18"/>
              </w:rPr>
              <w:t>Indeks (%)</w:t>
            </w:r>
          </w:p>
        </w:tc>
      </w:tr>
      <w:tr w:rsidR="000149DF" w14:paraId="498FEB11" w14:textId="77777777">
        <w:tblPrEx>
          <w:tblCellMar>
            <w:top w:w="0" w:type="dxa"/>
            <w:bottom w:w="0" w:type="dxa"/>
          </w:tblCellMar>
        </w:tblPrEx>
        <w:trPr>
          <w:cantSplit/>
          <w:trHeight w:val="560"/>
        </w:trPr>
        <w:tc>
          <w:tcPr>
            <w:tcW w:w="700" w:type="dxa"/>
            <w:tcMar>
              <w:top w:w="0" w:type="dxa"/>
              <w:bottom w:w="0" w:type="dxa"/>
            </w:tcMar>
            <w:vAlign w:val="center"/>
          </w:tcPr>
          <w:p w14:paraId="562C4E6F" w14:textId="77777777" w:rsidR="000149DF" w:rsidRDefault="000149DF">
            <w:pPr>
              <w:keepNext/>
              <w:keepLines/>
              <w:spacing w:after="0" w:line="240" w:lineRule="auto"/>
            </w:pPr>
          </w:p>
        </w:tc>
        <w:tc>
          <w:tcPr>
            <w:tcW w:w="3180" w:type="dxa"/>
            <w:tcMar>
              <w:top w:w="0" w:type="dxa"/>
              <w:bottom w:w="0" w:type="dxa"/>
            </w:tcMar>
            <w:vAlign w:val="center"/>
          </w:tcPr>
          <w:p w14:paraId="7CC9D562" w14:textId="77777777" w:rsidR="000149DF" w:rsidRDefault="00000000">
            <w:pPr>
              <w:keepNext/>
              <w:keepLines/>
              <w:spacing w:after="0" w:line="240" w:lineRule="auto"/>
            </w:pPr>
            <w:r>
              <w:rPr>
                <w:sz w:val="18"/>
              </w:rPr>
              <w:t>Proizvedena dugotrajna imovina</w:t>
            </w:r>
          </w:p>
        </w:tc>
        <w:tc>
          <w:tcPr>
            <w:tcW w:w="700" w:type="dxa"/>
            <w:tcMar>
              <w:top w:w="0" w:type="dxa"/>
              <w:bottom w:w="0" w:type="dxa"/>
            </w:tcMar>
            <w:vAlign w:val="center"/>
          </w:tcPr>
          <w:p w14:paraId="660C015E" w14:textId="77777777" w:rsidR="000149DF" w:rsidRDefault="00000000">
            <w:pPr>
              <w:keepNext/>
              <w:keepLines/>
              <w:spacing w:after="0" w:line="240" w:lineRule="auto"/>
            </w:pPr>
            <w:r>
              <w:rPr>
                <w:sz w:val="18"/>
              </w:rPr>
              <w:t>P003</w:t>
            </w:r>
          </w:p>
        </w:tc>
        <w:tc>
          <w:tcPr>
            <w:tcW w:w="1860" w:type="dxa"/>
            <w:tcMar>
              <w:top w:w="0" w:type="dxa"/>
              <w:bottom w:w="0" w:type="dxa"/>
            </w:tcMar>
            <w:vAlign w:val="center"/>
          </w:tcPr>
          <w:p w14:paraId="759D5B39" w14:textId="77777777" w:rsidR="000149DF" w:rsidRDefault="00000000">
            <w:pPr>
              <w:keepNext/>
              <w:keepLines/>
              <w:spacing w:after="0" w:line="240" w:lineRule="auto"/>
              <w:jc w:val="right"/>
            </w:pPr>
            <w:r>
              <w:rPr>
                <w:sz w:val="18"/>
              </w:rPr>
              <w:t>0,00</w:t>
            </w:r>
          </w:p>
        </w:tc>
        <w:tc>
          <w:tcPr>
            <w:tcW w:w="1860" w:type="dxa"/>
            <w:tcMar>
              <w:top w:w="0" w:type="dxa"/>
              <w:bottom w:w="0" w:type="dxa"/>
            </w:tcMar>
            <w:vAlign w:val="center"/>
          </w:tcPr>
          <w:p w14:paraId="30C17F03" w14:textId="77777777" w:rsidR="000149DF" w:rsidRDefault="00000000">
            <w:pPr>
              <w:keepNext/>
              <w:keepLines/>
              <w:spacing w:after="0" w:line="240" w:lineRule="auto"/>
              <w:jc w:val="right"/>
            </w:pPr>
            <w:r>
              <w:rPr>
                <w:sz w:val="18"/>
              </w:rPr>
              <w:t>884.622,54</w:t>
            </w:r>
          </w:p>
        </w:tc>
        <w:tc>
          <w:tcPr>
            <w:tcW w:w="700" w:type="dxa"/>
            <w:tcMar>
              <w:top w:w="0" w:type="dxa"/>
              <w:bottom w:w="0" w:type="dxa"/>
            </w:tcMar>
            <w:vAlign w:val="center"/>
          </w:tcPr>
          <w:p w14:paraId="0A325FBF" w14:textId="77777777" w:rsidR="000149DF" w:rsidRDefault="00000000">
            <w:pPr>
              <w:keepNext/>
              <w:keepLines/>
              <w:spacing w:after="0" w:line="240" w:lineRule="auto"/>
              <w:jc w:val="right"/>
            </w:pPr>
            <w:r>
              <w:rPr>
                <w:sz w:val="18"/>
              </w:rPr>
              <w:t>-</w:t>
            </w:r>
          </w:p>
        </w:tc>
      </w:tr>
    </w:tbl>
    <w:p w14:paraId="3139CC5C" w14:textId="77777777" w:rsidR="000149DF" w:rsidRDefault="000149DF">
      <w:pPr>
        <w:spacing w:after="0"/>
      </w:pPr>
    </w:p>
    <w:p w14:paraId="1161AF74" w14:textId="77777777" w:rsidR="000149DF" w:rsidRDefault="00000000">
      <w:r>
        <w:t>Iznos od 884.622,54 € sastoji se od ispravka vrijednosti za:</w:t>
      </w:r>
    </w:p>
    <w:p w14:paraId="6B94BA4C" w14:textId="77777777" w:rsidR="000149DF" w:rsidRDefault="00000000">
      <w:pPr>
        <w:pStyle w:val="ListParagraph"/>
        <w:numPr>
          <w:ilvl w:val="0"/>
          <w:numId w:val="1"/>
        </w:numPr>
      </w:pPr>
      <w:r>
        <w:t>ispravak vrijednosti građevinskih objekata u iznosu od 354.719,82</w:t>
      </w:r>
    </w:p>
    <w:p w14:paraId="43BBE88D" w14:textId="77777777" w:rsidR="000149DF" w:rsidRDefault="00000000">
      <w:pPr>
        <w:pStyle w:val="ListParagraph"/>
        <w:numPr>
          <w:ilvl w:val="0"/>
          <w:numId w:val="1"/>
        </w:numPr>
      </w:pPr>
      <w:r>
        <w:t>ispravak vrijednosti postrojenja i opreme u iznosu od 381.509,42</w:t>
      </w:r>
    </w:p>
    <w:p w14:paraId="1AD53547" w14:textId="77777777" w:rsidR="000149DF" w:rsidRDefault="00000000">
      <w:pPr>
        <w:pStyle w:val="ListParagraph"/>
        <w:numPr>
          <w:ilvl w:val="0"/>
          <w:numId w:val="1"/>
        </w:numPr>
      </w:pPr>
      <w:r>
        <w:t>ispravak vrijednosti prijevoznih sredstava u iznosu od 24.765,31 </w:t>
      </w:r>
    </w:p>
    <w:p w14:paraId="0069A649" w14:textId="77777777" w:rsidR="000149DF" w:rsidRDefault="00000000">
      <w:pPr>
        <w:pStyle w:val="ListParagraph"/>
        <w:numPr>
          <w:ilvl w:val="0"/>
          <w:numId w:val="1"/>
        </w:numPr>
      </w:pPr>
      <w:r>
        <w:t>ispravak vrijednosti knjiga, umjetničkih djela i ostalih izložbenih vrijednosti u iznosu od 5.572,35</w:t>
      </w:r>
    </w:p>
    <w:p w14:paraId="701CE88D" w14:textId="77777777" w:rsidR="000149DF" w:rsidRDefault="00000000">
      <w:pPr>
        <w:pStyle w:val="ListParagraph"/>
        <w:numPr>
          <w:ilvl w:val="0"/>
          <w:numId w:val="1"/>
        </w:numPr>
      </w:pPr>
      <w:r>
        <w:t>ispravak višegodišnjih nasada i osnovnog stada u iznosu od 987,11</w:t>
      </w:r>
    </w:p>
    <w:p w14:paraId="2012659B" w14:textId="77777777" w:rsidR="000149DF" w:rsidRDefault="00000000">
      <w:pPr>
        <w:pStyle w:val="ListParagraph"/>
        <w:numPr>
          <w:ilvl w:val="0"/>
          <w:numId w:val="1"/>
        </w:numPr>
      </w:pPr>
      <w:r>
        <w:t>ispravak vrijednosti nematerijalne proizvedene imovine u iznosu od 117.068,53</w:t>
      </w:r>
    </w:p>
    <w:p w14:paraId="7CD0C13F" w14:textId="77777777" w:rsidR="000149DF" w:rsidRDefault="000149DF"/>
    <w:p w14:paraId="6F929B33" w14:textId="77777777" w:rsidR="000149DF" w:rsidRDefault="00000000">
      <w:pPr>
        <w:keepNext/>
        <w:spacing w:line="240" w:lineRule="auto"/>
        <w:jc w:val="center"/>
      </w:pPr>
      <w:r>
        <w:rPr>
          <w:sz w:val="28"/>
        </w:rPr>
        <w:t>Bilješka 76.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A2E877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658E38B"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B1E3A9D"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1BB812F"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157D47F" w14:textId="77777777" w:rsidR="000149DF" w:rsidRDefault="00000000">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417FDF9B" w14:textId="77777777" w:rsidR="000149DF" w:rsidRDefault="00000000">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61B2247C" w14:textId="77777777" w:rsidR="000149DF" w:rsidRDefault="00000000">
            <w:pPr>
              <w:keepNext/>
              <w:keepLines/>
              <w:spacing w:after="0" w:line="240" w:lineRule="auto"/>
              <w:jc w:val="center"/>
            </w:pPr>
            <w:r>
              <w:rPr>
                <w:b/>
                <w:sz w:val="18"/>
              </w:rPr>
              <w:t>Indeks (%)</w:t>
            </w:r>
          </w:p>
        </w:tc>
      </w:tr>
      <w:tr w:rsidR="000149DF" w14:paraId="39612B56" w14:textId="77777777">
        <w:tblPrEx>
          <w:tblCellMar>
            <w:top w:w="0" w:type="dxa"/>
            <w:bottom w:w="0" w:type="dxa"/>
          </w:tblCellMar>
        </w:tblPrEx>
        <w:trPr>
          <w:cantSplit/>
          <w:trHeight w:val="560"/>
        </w:trPr>
        <w:tc>
          <w:tcPr>
            <w:tcW w:w="700" w:type="dxa"/>
            <w:tcMar>
              <w:top w:w="0" w:type="dxa"/>
              <w:bottom w:w="0" w:type="dxa"/>
            </w:tcMar>
            <w:vAlign w:val="center"/>
          </w:tcPr>
          <w:p w14:paraId="360F6840" w14:textId="77777777" w:rsidR="000149DF" w:rsidRDefault="00000000">
            <w:pPr>
              <w:keepNext/>
              <w:keepLines/>
              <w:spacing w:after="0" w:line="240" w:lineRule="auto"/>
            </w:pPr>
            <w:r>
              <w:rPr>
                <w:sz w:val="18"/>
              </w:rPr>
              <w:t>91512</w:t>
            </w:r>
          </w:p>
        </w:tc>
        <w:tc>
          <w:tcPr>
            <w:tcW w:w="3180" w:type="dxa"/>
            <w:tcMar>
              <w:top w:w="0" w:type="dxa"/>
              <w:bottom w:w="0" w:type="dxa"/>
            </w:tcMar>
            <w:vAlign w:val="center"/>
          </w:tcPr>
          <w:p w14:paraId="081F2370" w14:textId="77777777" w:rsidR="000149DF" w:rsidRDefault="00000000">
            <w:pPr>
              <w:keepNext/>
              <w:keepLines/>
              <w:spacing w:after="0" w:line="240" w:lineRule="auto"/>
            </w:pPr>
            <w:r>
              <w:rPr>
                <w:sz w:val="18"/>
              </w:rPr>
              <w:t>Promjene u obujmu imovine (šifre P016+P023)</w:t>
            </w:r>
          </w:p>
        </w:tc>
        <w:tc>
          <w:tcPr>
            <w:tcW w:w="700" w:type="dxa"/>
            <w:tcMar>
              <w:top w:w="0" w:type="dxa"/>
              <w:bottom w:w="0" w:type="dxa"/>
            </w:tcMar>
            <w:vAlign w:val="center"/>
          </w:tcPr>
          <w:p w14:paraId="2D9F3E67" w14:textId="77777777" w:rsidR="000149DF" w:rsidRDefault="00000000">
            <w:pPr>
              <w:keepNext/>
              <w:keepLines/>
              <w:spacing w:after="0" w:line="240" w:lineRule="auto"/>
            </w:pPr>
            <w:r>
              <w:rPr>
                <w:sz w:val="18"/>
              </w:rPr>
              <w:t>91512</w:t>
            </w:r>
          </w:p>
        </w:tc>
        <w:tc>
          <w:tcPr>
            <w:tcW w:w="1860" w:type="dxa"/>
            <w:tcMar>
              <w:top w:w="0" w:type="dxa"/>
              <w:bottom w:w="0" w:type="dxa"/>
            </w:tcMar>
            <w:vAlign w:val="center"/>
          </w:tcPr>
          <w:p w14:paraId="5129D088" w14:textId="77777777" w:rsidR="000149DF" w:rsidRDefault="00000000">
            <w:pPr>
              <w:keepNext/>
              <w:keepLines/>
              <w:spacing w:after="0" w:line="240" w:lineRule="auto"/>
              <w:jc w:val="right"/>
            </w:pPr>
            <w:r>
              <w:rPr>
                <w:sz w:val="18"/>
              </w:rPr>
              <w:t>1.411,58</w:t>
            </w:r>
          </w:p>
        </w:tc>
        <w:tc>
          <w:tcPr>
            <w:tcW w:w="1860" w:type="dxa"/>
            <w:tcMar>
              <w:top w:w="0" w:type="dxa"/>
              <w:bottom w:w="0" w:type="dxa"/>
            </w:tcMar>
            <w:vAlign w:val="center"/>
          </w:tcPr>
          <w:p w14:paraId="4C31C673" w14:textId="77777777" w:rsidR="000149DF" w:rsidRDefault="00000000">
            <w:pPr>
              <w:keepNext/>
              <w:keepLines/>
              <w:spacing w:after="0" w:line="240" w:lineRule="auto"/>
              <w:jc w:val="right"/>
            </w:pPr>
            <w:r>
              <w:rPr>
                <w:sz w:val="18"/>
              </w:rPr>
              <w:t>3.312,50</w:t>
            </w:r>
          </w:p>
        </w:tc>
        <w:tc>
          <w:tcPr>
            <w:tcW w:w="700" w:type="dxa"/>
            <w:tcMar>
              <w:top w:w="0" w:type="dxa"/>
              <w:bottom w:w="0" w:type="dxa"/>
            </w:tcMar>
            <w:vAlign w:val="center"/>
          </w:tcPr>
          <w:p w14:paraId="2C9709D6" w14:textId="77777777" w:rsidR="000149DF" w:rsidRDefault="00000000">
            <w:pPr>
              <w:keepNext/>
              <w:keepLines/>
              <w:spacing w:after="0" w:line="240" w:lineRule="auto"/>
              <w:jc w:val="right"/>
            </w:pPr>
            <w:r>
              <w:rPr>
                <w:sz w:val="18"/>
              </w:rPr>
              <w:t>234,7</w:t>
            </w:r>
          </w:p>
        </w:tc>
      </w:tr>
    </w:tbl>
    <w:p w14:paraId="5FC85EDA" w14:textId="77777777" w:rsidR="000149DF" w:rsidRDefault="000149DF">
      <w:pPr>
        <w:spacing w:after="0"/>
      </w:pPr>
    </w:p>
    <w:p w14:paraId="24EBBE85" w14:textId="77777777" w:rsidR="000149DF" w:rsidRDefault="00000000">
      <w:r>
        <w:t>Iznos smanjenja od 3.312,50 € odnosi se na otpis  imovine u pripremi elaborat HEP-a za projekt Koševo Vrbovci. </w:t>
      </w:r>
    </w:p>
    <w:p w14:paraId="02F8A852" w14:textId="77777777" w:rsidR="000149DF" w:rsidRDefault="00000000">
      <w:r>
        <w:t>Iznos povećanja od 1.411,58 € odnosi se na ispravak pogreške u knjženju iz prethodnih godina gdje se uplata knjižila na smanjenje potraživanja za zajmove obrtnicima umjesto na zatezne kamate.</w:t>
      </w:r>
    </w:p>
    <w:p w14:paraId="185E0784" w14:textId="77777777" w:rsidR="000149DF" w:rsidRDefault="000149DF"/>
    <w:p w14:paraId="6A530F7F" w14:textId="77777777" w:rsidR="000149DF" w:rsidRDefault="00000000">
      <w:pPr>
        <w:keepNext/>
        <w:spacing w:line="240" w:lineRule="auto"/>
        <w:jc w:val="center"/>
      </w:pPr>
      <w:r>
        <w:rPr>
          <w:sz w:val="28"/>
        </w:rPr>
        <w:t>Bilješka 77.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1B06D18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F8662FE"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190544F"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8FF30B8"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0FCCA67" w14:textId="77777777" w:rsidR="000149DF" w:rsidRDefault="00000000">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3CED96CD" w14:textId="77777777" w:rsidR="000149DF" w:rsidRDefault="00000000">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01BF17F5" w14:textId="77777777" w:rsidR="000149DF" w:rsidRDefault="00000000">
            <w:pPr>
              <w:keepNext/>
              <w:keepLines/>
              <w:spacing w:after="0" w:line="240" w:lineRule="auto"/>
              <w:jc w:val="center"/>
            </w:pPr>
            <w:r>
              <w:rPr>
                <w:b/>
                <w:sz w:val="18"/>
              </w:rPr>
              <w:t>Indeks (%)</w:t>
            </w:r>
          </w:p>
        </w:tc>
      </w:tr>
      <w:tr w:rsidR="000149DF" w14:paraId="270E29C3" w14:textId="77777777">
        <w:tblPrEx>
          <w:tblCellMar>
            <w:top w:w="0" w:type="dxa"/>
            <w:bottom w:w="0" w:type="dxa"/>
          </w:tblCellMar>
        </w:tblPrEx>
        <w:trPr>
          <w:cantSplit/>
          <w:trHeight w:val="560"/>
        </w:trPr>
        <w:tc>
          <w:tcPr>
            <w:tcW w:w="700" w:type="dxa"/>
            <w:tcMar>
              <w:top w:w="0" w:type="dxa"/>
              <w:bottom w:w="0" w:type="dxa"/>
            </w:tcMar>
            <w:vAlign w:val="center"/>
          </w:tcPr>
          <w:p w14:paraId="6FA19C89" w14:textId="77777777" w:rsidR="000149DF" w:rsidRDefault="000149DF">
            <w:pPr>
              <w:keepNext/>
              <w:keepLines/>
              <w:spacing w:after="0" w:line="240" w:lineRule="auto"/>
            </w:pPr>
          </w:p>
        </w:tc>
        <w:tc>
          <w:tcPr>
            <w:tcW w:w="3180" w:type="dxa"/>
            <w:tcMar>
              <w:top w:w="0" w:type="dxa"/>
              <w:bottom w:w="0" w:type="dxa"/>
            </w:tcMar>
            <w:vAlign w:val="center"/>
          </w:tcPr>
          <w:p w14:paraId="25FF18DA" w14:textId="77777777" w:rsidR="000149DF" w:rsidRDefault="00000000">
            <w:pPr>
              <w:keepNext/>
              <w:keepLines/>
              <w:spacing w:after="0" w:line="240" w:lineRule="auto"/>
            </w:pPr>
            <w:r>
              <w:rPr>
                <w:sz w:val="18"/>
              </w:rPr>
              <w:t>Dugotrajna nefinancijska imovina u pripremi</w:t>
            </w:r>
          </w:p>
        </w:tc>
        <w:tc>
          <w:tcPr>
            <w:tcW w:w="700" w:type="dxa"/>
            <w:tcMar>
              <w:top w:w="0" w:type="dxa"/>
              <w:bottom w:w="0" w:type="dxa"/>
            </w:tcMar>
            <w:vAlign w:val="center"/>
          </w:tcPr>
          <w:p w14:paraId="46691805" w14:textId="77777777" w:rsidR="000149DF" w:rsidRDefault="00000000">
            <w:pPr>
              <w:keepNext/>
              <w:keepLines/>
              <w:spacing w:after="0" w:line="240" w:lineRule="auto"/>
            </w:pPr>
            <w:r>
              <w:rPr>
                <w:sz w:val="18"/>
              </w:rPr>
              <w:t>P021</w:t>
            </w:r>
          </w:p>
        </w:tc>
        <w:tc>
          <w:tcPr>
            <w:tcW w:w="1860" w:type="dxa"/>
            <w:tcMar>
              <w:top w:w="0" w:type="dxa"/>
              <w:bottom w:w="0" w:type="dxa"/>
            </w:tcMar>
            <w:vAlign w:val="center"/>
          </w:tcPr>
          <w:p w14:paraId="48CB53D4" w14:textId="77777777" w:rsidR="000149DF" w:rsidRDefault="00000000">
            <w:pPr>
              <w:keepNext/>
              <w:keepLines/>
              <w:spacing w:after="0" w:line="240" w:lineRule="auto"/>
              <w:jc w:val="right"/>
            </w:pPr>
            <w:r>
              <w:rPr>
                <w:sz w:val="18"/>
              </w:rPr>
              <w:t>0,00</w:t>
            </w:r>
          </w:p>
        </w:tc>
        <w:tc>
          <w:tcPr>
            <w:tcW w:w="1860" w:type="dxa"/>
            <w:tcMar>
              <w:top w:w="0" w:type="dxa"/>
              <w:bottom w:w="0" w:type="dxa"/>
            </w:tcMar>
            <w:vAlign w:val="center"/>
          </w:tcPr>
          <w:p w14:paraId="3B5BC7F4" w14:textId="77777777" w:rsidR="000149DF" w:rsidRDefault="00000000">
            <w:pPr>
              <w:keepNext/>
              <w:keepLines/>
              <w:spacing w:after="0" w:line="240" w:lineRule="auto"/>
              <w:jc w:val="right"/>
            </w:pPr>
            <w:r>
              <w:rPr>
                <w:sz w:val="18"/>
              </w:rPr>
              <w:t>3.312,50</w:t>
            </w:r>
          </w:p>
        </w:tc>
        <w:tc>
          <w:tcPr>
            <w:tcW w:w="700" w:type="dxa"/>
            <w:tcMar>
              <w:top w:w="0" w:type="dxa"/>
              <w:bottom w:w="0" w:type="dxa"/>
            </w:tcMar>
            <w:vAlign w:val="center"/>
          </w:tcPr>
          <w:p w14:paraId="4B12B09C" w14:textId="77777777" w:rsidR="000149DF" w:rsidRDefault="00000000">
            <w:pPr>
              <w:keepNext/>
              <w:keepLines/>
              <w:spacing w:after="0" w:line="240" w:lineRule="auto"/>
              <w:jc w:val="right"/>
            </w:pPr>
            <w:r>
              <w:rPr>
                <w:sz w:val="18"/>
              </w:rPr>
              <w:t>-</w:t>
            </w:r>
          </w:p>
        </w:tc>
      </w:tr>
    </w:tbl>
    <w:p w14:paraId="6564F68E" w14:textId="77777777" w:rsidR="000149DF" w:rsidRDefault="000149DF">
      <w:pPr>
        <w:spacing w:after="0"/>
      </w:pPr>
    </w:p>
    <w:p w14:paraId="6D5381D2" w14:textId="77777777" w:rsidR="000149DF" w:rsidRDefault="00000000">
      <w:r>
        <w:t>Iznos smanjenja od 3.312,50 € odnosi se na otpis  imovine u pripremi elaborat HEP-a za projekt Koševo Vrbovci. </w:t>
      </w:r>
    </w:p>
    <w:p w14:paraId="37A84622" w14:textId="77777777" w:rsidR="000149DF" w:rsidRDefault="000149DF"/>
    <w:p w14:paraId="4D974F1B" w14:textId="77777777" w:rsidR="000149DF" w:rsidRDefault="00000000">
      <w:pPr>
        <w:keepNext/>
        <w:spacing w:line="240" w:lineRule="auto"/>
        <w:jc w:val="center"/>
      </w:pPr>
      <w:r>
        <w:rPr>
          <w:sz w:val="28"/>
        </w:rPr>
        <w:t>Bilješka 78.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0149DF" w14:paraId="05942DF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0C2A6F6"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68BF147"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1B3F654"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FFDBD92" w14:textId="77777777" w:rsidR="000149DF" w:rsidRDefault="00000000">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345E67B3" w14:textId="77777777" w:rsidR="000149DF" w:rsidRDefault="00000000">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24BD19D1" w14:textId="77777777" w:rsidR="000149DF" w:rsidRDefault="00000000">
            <w:pPr>
              <w:keepNext/>
              <w:keepLines/>
              <w:spacing w:after="0" w:line="240" w:lineRule="auto"/>
              <w:jc w:val="center"/>
            </w:pPr>
            <w:r>
              <w:rPr>
                <w:b/>
                <w:sz w:val="18"/>
              </w:rPr>
              <w:t>Indeks (%)</w:t>
            </w:r>
          </w:p>
        </w:tc>
      </w:tr>
      <w:tr w:rsidR="000149DF" w14:paraId="3CB76DC9" w14:textId="77777777">
        <w:tblPrEx>
          <w:tblCellMar>
            <w:top w:w="0" w:type="dxa"/>
            <w:bottom w:w="0" w:type="dxa"/>
          </w:tblCellMar>
        </w:tblPrEx>
        <w:trPr>
          <w:cantSplit/>
          <w:trHeight w:val="560"/>
        </w:trPr>
        <w:tc>
          <w:tcPr>
            <w:tcW w:w="700" w:type="dxa"/>
            <w:tcMar>
              <w:top w:w="0" w:type="dxa"/>
              <w:bottom w:w="0" w:type="dxa"/>
            </w:tcMar>
            <w:vAlign w:val="center"/>
          </w:tcPr>
          <w:p w14:paraId="20B3F157" w14:textId="77777777" w:rsidR="000149DF" w:rsidRDefault="000149DF">
            <w:pPr>
              <w:keepNext/>
              <w:keepLines/>
              <w:spacing w:after="0" w:line="240" w:lineRule="auto"/>
            </w:pPr>
          </w:p>
        </w:tc>
        <w:tc>
          <w:tcPr>
            <w:tcW w:w="3180" w:type="dxa"/>
            <w:tcMar>
              <w:top w:w="0" w:type="dxa"/>
              <w:bottom w:w="0" w:type="dxa"/>
            </w:tcMar>
            <w:vAlign w:val="center"/>
          </w:tcPr>
          <w:p w14:paraId="323E4836" w14:textId="77777777" w:rsidR="000149DF" w:rsidRDefault="00000000">
            <w:pPr>
              <w:keepNext/>
              <w:keepLines/>
              <w:spacing w:after="0" w:line="240" w:lineRule="auto"/>
            </w:pPr>
            <w:r>
              <w:rPr>
                <w:sz w:val="18"/>
              </w:rPr>
              <w:t>Potraživanja za dane zajmove</w:t>
            </w:r>
          </w:p>
        </w:tc>
        <w:tc>
          <w:tcPr>
            <w:tcW w:w="700" w:type="dxa"/>
            <w:tcMar>
              <w:top w:w="0" w:type="dxa"/>
              <w:bottom w:w="0" w:type="dxa"/>
            </w:tcMar>
            <w:vAlign w:val="center"/>
          </w:tcPr>
          <w:p w14:paraId="1A64FC89" w14:textId="77777777" w:rsidR="000149DF" w:rsidRDefault="00000000">
            <w:pPr>
              <w:keepNext/>
              <w:keepLines/>
              <w:spacing w:after="0" w:line="240" w:lineRule="auto"/>
            </w:pPr>
            <w:r>
              <w:rPr>
                <w:sz w:val="18"/>
              </w:rPr>
              <w:t>P026</w:t>
            </w:r>
          </w:p>
        </w:tc>
        <w:tc>
          <w:tcPr>
            <w:tcW w:w="1860" w:type="dxa"/>
            <w:tcMar>
              <w:top w:w="0" w:type="dxa"/>
              <w:bottom w:w="0" w:type="dxa"/>
            </w:tcMar>
            <w:vAlign w:val="center"/>
          </w:tcPr>
          <w:p w14:paraId="2F38E119" w14:textId="77777777" w:rsidR="000149DF" w:rsidRDefault="00000000">
            <w:pPr>
              <w:keepNext/>
              <w:keepLines/>
              <w:spacing w:after="0" w:line="240" w:lineRule="auto"/>
              <w:jc w:val="right"/>
            </w:pPr>
            <w:r>
              <w:rPr>
                <w:sz w:val="18"/>
              </w:rPr>
              <w:t>1.411,58</w:t>
            </w:r>
          </w:p>
        </w:tc>
        <w:tc>
          <w:tcPr>
            <w:tcW w:w="1860" w:type="dxa"/>
            <w:tcMar>
              <w:top w:w="0" w:type="dxa"/>
              <w:bottom w:w="0" w:type="dxa"/>
            </w:tcMar>
            <w:vAlign w:val="center"/>
          </w:tcPr>
          <w:p w14:paraId="342040F1" w14:textId="77777777" w:rsidR="000149DF" w:rsidRDefault="00000000">
            <w:pPr>
              <w:keepNext/>
              <w:keepLines/>
              <w:spacing w:after="0" w:line="240" w:lineRule="auto"/>
              <w:jc w:val="right"/>
            </w:pPr>
            <w:r>
              <w:rPr>
                <w:sz w:val="18"/>
              </w:rPr>
              <w:t>0,00</w:t>
            </w:r>
          </w:p>
        </w:tc>
        <w:tc>
          <w:tcPr>
            <w:tcW w:w="700" w:type="dxa"/>
            <w:tcMar>
              <w:top w:w="0" w:type="dxa"/>
              <w:bottom w:w="0" w:type="dxa"/>
            </w:tcMar>
            <w:vAlign w:val="center"/>
          </w:tcPr>
          <w:p w14:paraId="5468349E" w14:textId="77777777" w:rsidR="000149DF" w:rsidRDefault="00000000">
            <w:pPr>
              <w:keepNext/>
              <w:keepLines/>
              <w:spacing w:after="0" w:line="240" w:lineRule="auto"/>
              <w:jc w:val="right"/>
            </w:pPr>
            <w:r>
              <w:rPr>
                <w:sz w:val="18"/>
              </w:rPr>
              <w:t>0</w:t>
            </w:r>
          </w:p>
        </w:tc>
      </w:tr>
    </w:tbl>
    <w:p w14:paraId="63FB906F" w14:textId="77777777" w:rsidR="000149DF" w:rsidRDefault="000149DF">
      <w:pPr>
        <w:spacing w:after="0"/>
      </w:pPr>
    </w:p>
    <w:p w14:paraId="44E0D90D" w14:textId="77777777" w:rsidR="000149DF" w:rsidRDefault="00000000">
      <w:r>
        <w:t>Iznos povećanja od 1.411,58 € odnosi se na ispravak pogreške u knjženju iz prethodnih godina gdje se uplata knjižila na smanjenje potraživanja za zajmove obrtnicima umjesto na zatezne kamate.</w:t>
      </w:r>
    </w:p>
    <w:p w14:paraId="00F3A2B1" w14:textId="77777777" w:rsidR="000149DF" w:rsidRDefault="000149DF"/>
    <w:p w14:paraId="1DB5010C" w14:textId="77777777" w:rsidR="000149DF" w:rsidRDefault="00000000">
      <w:pPr>
        <w:keepNext/>
        <w:spacing w:line="240" w:lineRule="auto"/>
        <w:jc w:val="center"/>
      </w:pPr>
      <w:r>
        <w:rPr>
          <w:b/>
          <w:sz w:val="28"/>
        </w:rPr>
        <w:t>Izvještaj o obvezama</w:t>
      </w:r>
    </w:p>
    <w:p w14:paraId="43F5EB4C" w14:textId="77777777" w:rsidR="000149DF" w:rsidRDefault="00000000">
      <w:pPr>
        <w:keepNext/>
        <w:spacing w:line="240" w:lineRule="auto"/>
        <w:jc w:val="center"/>
      </w:pPr>
      <w:r>
        <w:rPr>
          <w:sz w:val="28"/>
        </w:rPr>
        <w:t>Bilješka 79.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883"/>
        <w:gridCol w:w="4008"/>
        <w:gridCol w:w="882"/>
        <w:gridCol w:w="2345"/>
        <w:gridCol w:w="882"/>
      </w:tblGrid>
      <w:tr w:rsidR="000149DF" w14:paraId="0CB7E0C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C50A1F5"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C61FFFB"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6A62110"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E4F5DB3" w14:textId="77777777" w:rsidR="000149DF" w:rsidRDefault="00000000">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15CA4B4F" w14:textId="77777777" w:rsidR="000149DF" w:rsidRDefault="00000000">
            <w:pPr>
              <w:keepNext/>
              <w:keepLines/>
              <w:spacing w:after="0" w:line="240" w:lineRule="auto"/>
              <w:jc w:val="center"/>
            </w:pPr>
            <w:r>
              <w:rPr>
                <w:b/>
                <w:sz w:val="18"/>
              </w:rPr>
              <w:t>Indeks (%)</w:t>
            </w:r>
          </w:p>
        </w:tc>
      </w:tr>
      <w:tr w:rsidR="000149DF" w14:paraId="1023AE4C" w14:textId="77777777">
        <w:tblPrEx>
          <w:tblCellMar>
            <w:top w:w="0" w:type="dxa"/>
            <w:bottom w:w="0" w:type="dxa"/>
          </w:tblCellMar>
        </w:tblPrEx>
        <w:trPr>
          <w:cantSplit/>
          <w:trHeight w:val="560"/>
        </w:trPr>
        <w:tc>
          <w:tcPr>
            <w:tcW w:w="700" w:type="dxa"/>
            <w:tcMar>
              <w:top w:w="0" w:type="dxa"/>
              <w:bottom w:w="0" w:type="dxa"/>
            </w:tcMar>
            <w:vAlign w:val="center"/>
          </w:tcPr>
          <w:p w14:paraId="05370C49" w14:textId="77777777" w:rsidR="000149DF" w:rsidRDefault="000149DF">
            <w:pPr>
              <w:keepNext/>
              <w:keepLines/>
              <w:spacing w:after="0" w:line="240" w:lineRule="auto"/>
            </w:pPr>
          </w:p>
        </w:tc>
        <w:tc>
          <w:tcPr>
            <w:tcW w:w="3180" w:type="dxa"/>
            <w:tcMar>
              <w:top w:w="0" w:type="dxa"/>
              <w:bottom w:w="0" w:type="dxa"/>
            </w:tcMar>
            <w:vAlign w:val="center"/>
          </w:tcPr>
          <w:p w14:paraId="2BDF05C4" w14:textId="77777777" w:rsidR="000149DF" w:rsidRDefault="00000000">
            <w:pPr>
              <w:keepNext/>
              <w:keepLines/>
              <w:spacing w:after="0" w:line="240" w:lineRule="auto"/>
            </w:pPr>
            <w:r>
              <w:rPr>
                <w:sz w:val="18"/>
              </w:rPr>
              <w:t>Stanje obveza na kraju izvještajnog razdoblja (šifre V001+V002-V004) i (šifre V007+V009)</w:t>
            </w:r>
          </w:p>
        </w:tc>
        <w:tc>
          <w:tcPr>
            <w:tcW w:w="700" w:type="dxa"/>
            <w:tcMar>
              <w:top w:w="0" w:type="dxa"/>
              <w:bottom w:w="0" w:type="dxa"/>
            </w:tcMar>
            <w:vAlign w:val="center"/>
          </w:tcPr>
          <w:p w14:paraId="25ED015A" w14:textId="77777777" w:rsidR="000149DF" w:rsidRDefault="00000000">
            <w:pPr>
              <w:keepNext/>
              <w:keepLines/>
              <w:spacing w:after="0" w:line="240" w:lineRule="auto"/>
            </w:pPr>
            <w:r>
              <w:rPr>
                <w:sz w:val="18"/>
              </w:rPr>
              <w:t>V006</w:t>
            </w:r>
          </w:p>
        </w:tc>
        <w:tc>
          <w:tcPr>
            <w:tcW w:w="1860" w:type="dxa"/>
            <w:tcMar>
              <w:top w:w="0" w:type="dxa"/>
              <w:bottom w:w="0" w:type="dxa"/>
            </w:tcMar>
            <w:vAlign w:val="center"/>
          </w:tcPr>
          <w:p w14:paraId="1059A8AC" w14:textId="77777777" w:rsidR="000149DF" w:rsidRDefault="00000000">
            <w:pPr>
              <w:keepNext/>
              <w:keepLines/>
              <w:spacing w:after="0" w:line="240" w:lineRule="auto"/>
              <w:jc w:val="right"/>
            </w:pPr>
            <w:r>
              <w:rPr>
                <w:sz w:val="18"/>
              </w:rPr>
              <w:t>8.256.472,82</w:t>
            </w:r>
          </w:p>
        </w:tc>
        <w:tc>
          <w:tcPr>
            <w:tcW w:w="700" w:type="dxa"/>
            <w:tcMar>
              <w:top w:w="0" w:type="dxa"/>
              <w:bottom w:w="0" w:type="dxa"/>
            </w:tcMar>
            <w:vAlign w:val="center"/>
          </w:tcPr>
          <w:p w14:paraId="5AA89331" w14:textId="77777777" w:rsidR="000149DF" w:rsidRDefault="00000000">
            <w:pPr>
              <w:keepNext/>
              <w:keepLines/>
              <w:spacing w:after="0" w:line="240" w:lineRule="auto"/>
              <w:jc w:val="right"/>
            </w:pPr>
            <w:r>
              <w:rPr>
                <w:sz w:val="18"/>
              </w:rPr>
              <w:t>-</w:t>
            </w:r>
          </w:p>
        </w:tc>
      </w:tr>
    </w:tbl>
    <w:p w14:paraId="43E257E0" w14:textId="77777777" w:rsidR="000149DF" w:rsidRDefault="000149DF">
      <w:pPr>
        <w:spacing w:after="0"/>
      </w:pPr>
    </w:p>
    <w:p w14:paraId="5D52040A" w14:textId="77777777" w:rsidR="000149DF" w:rsidRDefault="00000000">
      <w:r>
        <w:lastRenderedPageBreak/>
        <w:t>Stanje obveza na kraju izvještajnog razdoblja iznosi 8.256.472,82 € od čega su dospjele obveze 245.541,38 € , a nedospjele obveze 8.010.931,44 €.</w:t>
      </w:r>
    </w:p>
    <w:p w14:paraId="2E71E167" w14:textId="77777777" w:rsidR="000149DF" w:rsidRDefault="000149DF"/>
    <w:p w14:paraId="61E10A3A" w14:textId="77777777" w:rsidR="000149DF" w:rsidRDefault="00000000">
      <w:pPr>
        <w:keepNext/>
        <w:spacing w:line="240" w:lineRule="auto"/>
        <w:jc w:val="center"/>
      </w:pPr>
      <w:r>
        <w:rPr>
          <w:sz w:val="28"/>
        </w:rPr>
        <w:t>Bilješka 80.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883"/>
        <w:gridCol w:w="4008"/>
        <w:gridCol w:w="882"/>
        <w:gridCol w:w="2345"/>
        <w:gridCol w:w="882"/>
      </w:tblGrid>
      <w:tr w:rsidR="000149DF" w14:paraId="63780CE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1523CCC"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AF31CE7"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BA885A2"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B1B8F24" w14:textId="77777777" w:rsidR="000149DF" w:rsidRDefault="00000000">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3B4F1226" w14:textId="77777777" w:rsidR="000149DF" w:rsidRDefault="00000000">
            <w:pPr>
              <w:keepNext/>
              <w:keepLines/>
              <w:spacing w:after="0" w:line="240" w:lineRule="auto"/>
              <w:jc w:val="center"/>
            </w:pPr>
            <w:r>
              <w:rPr>
                <w:b/>
                <w:sz w:val="18"/>
              </w:rPr>
              <w:t>Indeks (%)</w:t>
            </w:r>
          </w:p>
        </w:tc>
      </w:tr>
      <w:tr w:rsidR="000149DF" w14:paraId="6E606349" w14:textId="77777777">
        <w:tblPrEx>
          <w:tblCellMar>
            <w:top w:w="0" w:type="dxa"/>
            <w:bottom w:w="0" w:type="dxa"/>
          </w:tblCellMar>
        </w:tblPrEx>
        <w:trPr>
          <w:cantSplit/>
          <w:trHeight w:val="560"/>
        </w:trPr>
        <w:tc>
          <w:tcPr>
            <w:tcW w:w="700" w:type="dxa"/>
            <w:tcMar>
              <w:top w:w="0" w:type="dxa"/>
              <w:bottom w:w="0" w:type="dxa"/>
            </w:tcMar>
            <w:vAlign w:val="center"/>
          </w:tcPr>
          <w:p w14:paraId="0F92DBBF" w14:textId="77777777" w:rsidR="000149DF" w:rsidRDefault="000149DF">
            <w:pPr>
              <w:keepNext/>
              <w:keepLines/>
              <w:spacing w:after="0" w:line="240" w:lineRule="auto"/>
            </w:pPr>
          </w:p>
        </w:tc>
        <w:tc>
          <w:tcPr>
            <w:tcW w:w="3180" w:type="dxa"/>
            <w:tcMar>
              <w:top w:w="0" w:type="dxa"/>
              <w:bottom w:w="0" w:type="dxa"/>
            </w:tcMar>
            <w:vAlign w:val="center"/>
          </w:tcPr>
          <w:p w14:paraId="1004F738" w14:textId="77777777" w:rsidR="000149DF" w:rsidRDefault="00000000">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14:paraId="298CE81A" w14:textId="77777777" w:rsidR="000149DF" w:rsidRDefault="00000000">
            <w:pPr>
              <w:keepNext/>
              <w:keepLines/>
              <w:spacing w:after="0" w:line="240" w:lineRule="auto"/>
            </w:pPr>
            <w:r>
              <w:rPr>
                <w:sz w:val="18"/>
              </w:rPr>
              <w:t>V007</w:t>
            </w:r>
          </w:p>
        </w:tc>
        <w:tc>
          <w:tcPr>
            <w:tcW w:w="1860" w:type="dxa"/>
            <w:tcMar>
              <w:top w:w="0" w:type="dxa"/>
              <w:bottom w:w="0" w:type="dxa"/>
            </w:tcMar>
            <w:vAlign w:val="center"/>
          </w:tcPr>
          <w:p w14:paraId="1DB0EF3C" w14:textId="77777777" w:rsidR="000149DF" w:rsidRDefault="00000000">
            <w:pPr>
              <w:keepNext/>
              <w:keepLines/>
              <w:spacing w:after="0" w:line="240" w:lineRule="auto"/>
              <w:jc w:val="right"/>
            </w:pPr>
            <w:r>
              <w:rPr>
                <w:sz w:val="18"/>
              </w:rPr>
              <w:t>245.541,38</w:t>
            </w:r>
          </w:p>
        </w:tc>
        <w:tc>
          <w:tcPr>
            <w:tcW w:w="700" w:type="dxa"/>
            <w:tcMar>
              <w:top w:w="0" w:type="dxa"/>
              <w:bottom w:w="0" w:type="dxa"/>
            </w:tcMar>
            <w:vAlign w:val="center"/>
          </w:tcPr>
          <w:p w14:paraId="27D696B5" w14:textId="77777777" w:rsidR="000149DF" w:rsidRDefault="00000000">
            <w:pPr>
              <w:keepNext/>
              <w:keepLines/>
              <w:spacing w:after="0" w:line="240" w:lineRule="auto"/>
              <w:jc w:val="right"/>
            </w:pPr>
            <w:r>
              <w:rPr>
                <w:sz w:val="18"/>
              </w:rPr>
              <w:t>-</w:t>
            </w:r>
          </w:p>
        </w:tc>
      </w:tr>
    </w:tbl>
    <w:p w14:paraId="02CDD6F1" w14:textId="77777777" w:rsidR="000149DF" w:rsidRDefault="000149DF">
      <w:pPr>
        <w:spacing w:after="0"/>
      </w:pPr>
    </w:p>
    <w:p w14:paraId="2DBB92ED" w14:textId="77777777" w:rsidR="000149DF" w:rsidRDefault="00000000">
      <w:r>
        <w:t>Stanje dospjelih obveza na kraju izvještajnog razdoblja iznosi 245.541,38 €. Najveći dio dospjelih obveza - 230.828,04 € - odnosi se na prekoračenje od 1 do 60 dana za račune za redovno poslovanje od kojih većina ima dospijeće na dan 31.12.2025. godine. Ostatak iznosa od 14.713,34 € odnosi se na prekoračenje preko 61 dan od čega 11.593,31 € se odnosi na sufinanciranje prijevoza učenika srednjih škola i nisu podmirene zato što su izostale pomoći iz Ministarstva znanosti i obrazovanja. Rračuni za redovno poslovanje nisu podmireni u roku dospjeća zbog kratkih rokova dospjeća, zbog kašnjenja u dostavljanju istih i zbog dostavljanja računa bez potpune dokumentacije.</w:t>
      </w:r>
    </w:p>
    <w:p w14:paraId="10004A7F" w14:textId="77777777" w:rsidR="000149DF" w:rsidRDefault="000149DF"/>
    <w:p w14:paraId="76369DAF" w14:textId="77777777" w:rsidR="000149DF" w:rsidRDefault="00000000">
      <w:pPr>
        <w:keepNext/>
        <w:spacing w:line="240" w:lineRule="auto"/>
        <w:jc w:val="center"/>
      </w:pPr>
      <w:r>
        <w:rPr>
          <w:sz w:val="28"/>
        </w:rPr>
        <w:t>Bilješka 81.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883"/>
        <w:gridCol w:w="4008"/>
        <w:gridCol w:w="882"/>
        <w:gridCol w:w="2345"/>
        <w:gridCol w:w="882"/>
      </w:tblGrid>
      <w:tr w:rsidR="000149DF" w14:paraId="177E941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84C4194" w14:textId="77777777" w:rsidR="000149DF" w:rsidRDefault="00000000">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07CA01D" w14:textId="77777777" w:rsidR="000149DF"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81727BE" w14:textId="77777777" w:rsidR="000149DF"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B5C6822" w14:textId="77777777" w:rsidR="000149DF" w:rsidRDefault="00000000">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3313BE76" w14:textId="77777777" w:rsidR="000149DF" w:rsidRDefault="00000000">
            <w:pPr>
              <w:keepNext/>
              <w:keepLines/>
              <w:spacing w:after="0" w:line="240" w:lineRule="auto"/>
              <w:jc w:val="center"/>
            </w:pPr>
            <w:r>
              <w:rPr>
                <w:b/>
                <w:sz w:val="18"/>
              </w:rPr>
              <w:t>Indeks (%)</w:t>
            </w:r>
          </w:p>
        </w:tc>
      </w:tr>
      <w:tr w:rsidR="000149DF" w14:paraId="4C4D633F" w14:textId="77777777">
        <w:tblPrEx>
          <w:tblCellMar>
            <w:top w:w="0" w:type="dxa"/>
            <w:bottom w:w="0" w:type="dxa"/>
          </w:tblCellMar>
        </w:tblPrEx>
        <w:trPr>
          <w:cantSplit/>
          <w:trHeight w:val="560"/>
        </w:trPr>
        <w:tc>
          <w:tcPr>
            <w:tcW w:w="700" w:type="dxa"/>
            <w:tcMar>
              <w:top w:w="0" w:type="dxa"/>
              <w:bottom w:w="0" w:type="dxa"/>
            </w:tcMar>
            <w:vAlign w:val="center"/>
          </w:tcPr>
          <w:p w14:paraId="6E047E1D" w14:textId="77777777" w:rsidR="000149DF" w:rsidRDefault="000149DF">
            <w:pPr>
              <w:keepNext/>
              <w:keepLines/>
              <w:spacing w:after="0" w:line="240" w:lineRule="auto"/>
            </w:pPr>
          </w:p>
        </w:tc>
        <w:tc>
          <w:tcPr>
            <w:tcW w:w="3180" w:type="dxa"/>
            <w:tcMar>
              <w:top w:w="0" w:type="dxa"/>
              <w:bottom w:w="0" w:type="dxa"/>
            </w:tcMar>
            <w:vAlign w:val="center"/>
          </w:tcPr>
          <w:p w14:paraId="3D67021E" w14:textId="77777777" w:rsidR="000149DF" w:rsidRDefault="00000000">
            <w:pPr>
              <w:keepNext/>
              <w:keepLines/>
              <w:spacing w:after="0" w:line="240" w:lineRule="auto"/>
            </w:pPr>
            <w:r>
              <w:rPr>
                <w:sz w:val="18"/>
              </w:rPr>
              <w:t>Stanje nedospjelih obveza na kraju izvještajnog razdoblja (šifre V010 + ND23 + ND24 + 'ND dio 25,26' + ND27)</w:t>
            </w:r>
          </w:p>
        </w:tc>
        <w:tc>
          <w:tcPr>
            <w:tcW w:w="700" w:type="dxa"/>
            <w:tcMar>
              <w:top w:w="0" w:type="dxa"/>
              <w:bottom w:w="0" w:type="dxa"/>
            </w:tcMar>
            <w:vAlign w:val="center"/>
          </w:tcPr>
          <w:p w14:paraId="33C8FBCF" w14:textId="77777777" w:rsidR="000149DF" w:rsidRDefault="00000000">
            <w:pPr>
              <w:keepNext/>
              <w:keepLines/>
              <w:spacing w:after="0" w:line="240" w:lineRule="auto"/>
            </w:pPr>
            <w:r>
              <w:rPr>
                <w:sz w:val="18"/>
              </w:rPr>
              <w:t>V009</w:t>
            </w:r>
          </w:p>
        </w:tc>
        <w:tc>
          <w:tcPr>
            <w:tcW w:w="1860" w:type="dxa"/>
            <w:tcMar>
              <w:top w:w="0" w:type="dxa"/>
              <w:bottom w:w="0" w:type="dxa"/>
            </w:tcMar>
            <w:vAlign w:val="center"/>
          </w:tcPr>
          <w:p w14:paraId="407115E8" w14:textId="77777777" w:rsidR="000149DF" w:rsidRDefault="00000000">
            <w:pPr>
              <w:keepNext/>
              <w:keepLines/>
              <w:spacing w:after="0" w:line="240" w:lineRule="auto"/>
              <w:jc w:val="right"/>
            </w:pPr>
            <w:r>
              <w:rPr>
                <w:sz w:val="18"/>
              </w:rPr>
              <w:t>8.010.931,44</w:t>
            </w:r>
          </w:p>
        </w:tc>
        <w:tc>
          <w:tcPr>
            <w:tcW w:w="700" w:type="dxa"/>
            <w:tcMar>
              <w:top w:w="0" w:type="dxa"/>
              <w:bottom w:w="0" w:type="dxa"/>
            </w:tcMar>
            <w:vAlign w:val="center"/>
          </w:tcPr>
          <w:p w14:paraId="4D6239BA" w14:textId="77777777" w:rsidR="000149DF" w:rsidRDefault="00000000">
            <w:pPr>
              <w:keepNext/>
              <w:keepLines/>
              <w:spacing w:after="0" w:line="240" w:lineRule="auto"/>
              <w:jc w:val="right"/>
            </w:pPr>
            <w:r>
              <w:rPr>
                <w:sz w:val="18"/>
              </w:rPr>
              <w:t>-</w:t>
            </w:r>
          </w:p>
        </w:tc>
      </w:tr>
    </w:tbl>
    <w:p w14:paraId="4FE53716" w14:textId="77777777" w:rsidR="000149DF" w:rsidRDefault="000149DF">
      <w:pPr>
        <w:spacing w:after="0"/>
      </w:pPr>
    </w:p>
    <w:p w14:paraId="277F209C" w14:textId="77777777" w:rsidR="000149DF" w:rsidRDefault="00000000">
      <w:r>
        <w:t>Najznačajnije nedospjele obveze odnose se na plaće za prosinac i ostale obveze za zaposlene, deponirana sredstva za izvlaštenja, obveze za jamčevine, obveze za zajmove uplaćene iz Državnog proračuna, međusobne obveze subjekata općeg proračuna i na račune za redovno poslovanje</w:t>
      </w:r>
    </w:p>
    <w:p w14:paraId="5312BD70" w14:textId="77777777" w:rsidR="000149DF" w:rsidRDefault="000149DF"/>
    <w:p w14:paraId="10FA5771" w14:textId="77777777" w:rsidR="000149DF" w:rsidRDefault="00000000">
      <w:pPr>
        <w:keepNext/>
        <w:spacing w:line="240" w:lineRule="auto"/>
        <w:jc w:val="center"/>
      </w:pPr>
      <w:r>
        <w:rPr>
          <w:sz w:val="28"/>
        </w:rPr>
        <w:t>Bilješka 82.</w:t>
      </w:r>
    </w:p>
    <w:p w14:paraId="6EF95726" w14:textId="77777777" w:rsidR="000149DF" w:rsidRDefault="00000000">
      <w:pPr>
        <w:spacing w:line="240" w:lineRule="auto"/>
        <w:jc w:val="both"/>
      </w:pPr>
      <w:r>
        <w:rPr>
          <w:b/>
        </w:rPr>
        <w:t>EU izvještaj</w:t>
      </w:r>
    </w:p>
    <w:p w14:paraId="6E91497C" w14:textId="77777777" w:rsidR="000149DF" w:rsidRDefault="00000000">
      <w:r>
        <w:t>Dubrovačko neretvanska županija u 2025 godini je provodila EU projekte iz tri izvora financiranja i to Europski socijalni fond plus, Europski fond za regionalni razvoj i Mehanizam za oporavak i otpornost. Ukupni prihodi poslovanja iznose 6.389.063,06 €, a ukupni rashodi  iznose 7.131.477,26 €. </w:t>
      </w:r>
    </w:p>
    <w:p w14:paraId="56BCFD7A" w14:textId="77777777" w:rsidR="000149DF" w:rsidRDefault="000149DF"/>
    <w:sectPr w:rsidR="000149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321E7D"/>
    <w:multiLevelType w:val="hybridMultilevel"/>
    <w:tmpl w:val="96CC7D1C"/>
    <w:name w:val="disc"/>
    <w:lvl w:ilvl="0" w:tplc="17FC942C">
      <w:start w:val="1"/>
      <w:numFmt w:val="bullet"/>
      <w:lvlText w:val="•"/>
      <w:lvlJc w:val="left"/>
      <w:pPr>
        <w:ind w:left="720" w:hanging="360"/>
      </w:pPr>
    </w:lvl>
    <w:lvl w:ilvl="1" w:tplc="C7CC8356">
      <w:start w:val="1"/>
      <w:numFmt w:val="bullet"/>
      <w:lvlText w:val="•"/>
      <w:lvlJc w:val="left"/>
      <w:pPr>
        <w:ind w:left="1440" w:hanging="360"/>
      </w:pPr>
    </w:lvl>
    <w:lvl w:ilvl="2" w:tplc="067AB170">
      <w:start w:val="1"/>
      <w:numFmt w:val="bullet"/>
      <w:lvlText w:val="•"/>
      <w:lvlJc w:val="left"/>
      <w:pPr>
        <w:ind w:left="2160" w:hanging="360"/>
      </w:pPr>
    </w:lvl>
    <w:lvl w:ilvl="3" w:tplc="B750E62A">
      <w:start w:val="1"/>
      <w:numFmt w:val="bullet"/>
      <w:lvlText w:val="•"/>
      <w:lvlJc w:val="left"/>
      <w:pPr>
        <w:ind w:left="2880" w:hanging="360"/>
      </w:pPr>
    </w:lvl>
    <w:lvl w:ilvl="4" w:tplc="7492A6A8">
      <w:start w:val="1"/>
      <w:numFmt w:val="bullet"/>
      <w:lvlText w:val="•"/>
      <w:lvlJc w:val="left"/>
      <w:pPr>
        <w:ind w:left="3600" w:hanging="360"/>
      </w:pPr>
    </w:lvl>
    <w:lvl w:ilvl="5" w:tplc="2814D394">
      <w:start w:val="1"/>
      <w:numFmt w:val="bullet"/>
      <w:lvlText w:val="•"/>
      <w:lvlJc w:val="left"/>
      <w:pPr>
        <w:ind w:left="4320" w:hanging="360"/>
      </w:pPr>
    </w:lvl>
    <w:lvl w:ilvl="6" w:tplc="547811F0">
      <w:start w:val="1"/>
      <w:numFmt w:val="bullet"/>
      <w:lvlText w:val="•"/>
      <w:lvlJc w:val="left"/>
      <w:pPr>
        <w:ind w:left="5040" w:hanging="360"/>
      </w:pPr>
    </w:lvl>
    <w:lvl w:ilvl="7" w:tplc="987EBA42">
      <w:start w:val="1"/>
      <w:numFmt w:val="bullet"/>
      <w:lvlText w:val="•"/>
      <w:lvlJc w:val="left"/>
      <w:pPr>
        <w:ind w:left="5760" w:hanging="360"/>
      </w:pPr>
    </w:lvl>
    <w:lvl w:ilvl="8" w:tplc="1CD8094A">
      <w:start w:val="1"/>
      <w:numFmt w:val="bullet"/>
      <w:lvlText w:val="•"/>
      <w:lvlJc w:val="left"/>
      <w:pPr>
        <w:ind w:left="6480" w:hanging="360"/>
      </w:pPr>
    </w:lvl>
  </w:abstractNum>
  <w:num w:numId="1" w16cid:durableId="176036858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DF"/>
    <w:rsid w:val="000149DF"/>
    <w:rsid w:val="00573E51"/>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72FA"/>
  <w15:docId w15:val="{AAF6C984-4EFB-407F-A30C-4DD47BB24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7332</Words>
  <Characters>41794</Characters>
  <Application>Microsoft Office Word</Application>
  <DocSecurity>0</DocSecurity>
  <Lines>348</Lines>
  <Paragraphs>98</Paragraphs>
  <ScaleCrop>false</ScaleCrop>
  <Company/>
  <LinksUpToDate>false</LinksUpToDate>
  <CharactersWithSpaces>49028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dc:creator>
  <cp:lastModifiedBy>MARE</cp:lastModifiedBy>
  <cp:revision>2</cp:revision>
  <dcterms:created xsi:type="dcterms:W3CDTF">2026-02-16T13:13:00Z</dcterms:created>
  <dcterms:modified xsi:type="dcterms:W3CDTF">2026-02-16T13:13:00Z</dcterms:modified>
</cp:coreProperties>
</file>